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89947" w14:textId="044132A2" w:rsidR="006A5BF8" w:rsidRDefault="008A1E8B" w:rsidP="008A1E8B">
      <w:pPr>
        <w:jc w:val="center"/>
      </w:pPr>
      <w:bookmarkStart w:id="0" w:name="_Hlk14957186"/>
      <w:bookmarkEnd w:id="0"/>
      <w:r>
        <w:rPr>
          <w:noProof/>
        </w:rPr>
        <w:drawing>
          <wp:anchor distT="0" distB="0" distL="114300" distR="114300" simplePos="0" relativeHeight="251658241" behindDoc="0" locked="0" layoutInCell="1" allowOverlap="1" wp14:anchorId="046143FA" wp14:editId="03CFF7E2">
            <wp:simplePos x="0" y="0"/>
            <wp:positionH relativeFrom="column">
              <wp:posOffset>676275</wp:posOffset>
            </wp:positionH>
            <wp:positionV relativeFrom="paragraph">
              <wp:posOffset>32385</wp:posOffset>
            </wp:positionV>
            <wp:extent cx="7496175" cy="1609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61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5EA11E54" wp14:editId="54401843">
                <wp:simplePos x="0" y="0"/>
                <wp:positionH relativeFrom="column">
                  <wp:posOffset>647700</wp:posOffset>
                </wp:positionH>
                <wp:positionV relativeFrom="paragraph">
                  <wp:posOffset>3810</wp:posOffset>
                </wp:positionV>
                <wp:extent cx="7562850" cy="5753100"/>
                <wp:effectExtent l="19050" t="19050" r="38100" b="0"/>
                <wp:wrapNone/>
                <wp:docPr id="2" name="Flowchart: Document 2"/>
                <wp:cNvGraphicFramePr/>
                <a:graphic xmlns:a="http://schemas.openxmlformats.org/drawingml/2006/main">
                  <a:graphicData uri="http://schemas.microsoft.com/office/word/2010/wordprocessingShape">
                    <wps:wsp>
                      <wps:cNvSpPr/>
                      <wps:spPr>
                        <a:xfrm>
                          <a:off x="0" y="0"/>
                          <a:ext cx="7562850" cy="5753100"/>
                        </a:xfrm>
                        <a:prstGeom prst="flowChartDocument">
                          <a:avLst/>
                        </a:prstGeom>
                        <a:noFill/>
                        <a:ln w="5715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3FE4FB3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26" type="#_x0000_t114" style="position:absolute;margin-left:51pt;margin-top:.3pt;width:595.5pt;height:45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" filled="f" strokecolor="#4472c4 [3204]" strokeweight="4.5pt">
                <v:stroke joinstyle="round"/>
              </v:shape>
            </w:pict>
          </mc:Fallback>
        </mc:AlternateContent>
      </w:r>
    </w:p>
    <w:p w14:paraId="4A29F654" w14:textId="57B6B5A0" w:rsidR="008A1E8B" w:rsidRDefault="008A1E8B"/>
    <w:p w14:paraId="7B96530F" w14:textId="1F6030D9" w:rsidR="008A1E8B" w:rsidRDefault="008A1E8B"/>
    <w:p w14:paraId="263DB07C" w14:textId="60CC4C99" w:rsidR="008A1E8B" w:rsidRDefault="008A1E8B"/>
    <w:p w14:paraId="0058A722" w14:textId="5B43837D" w:rsidR="008A1E8B" w:rsidRDefault="008A1E8B"/>
    <w:p w14:paraId="675ACCCC" w14:textId="3FB34629" w:rsidR="008A1E8B" w:rsidRDefault="008A1E8B"/>
    <w:p w14:paraId="53683147" w14:textId="41DE2DA3" w:rsidR="008A1E8B" w:rsidRDefault="008A1E8B"/>
    <w:p w14:paraId="698FBF7E" w14:textId="0389ADFF" w:rsidR="008A1E8B" w:rsidRDefault="0053583E">
      <w:r>
        <w:rPr>
          <w:noProof/>
        </w:rPr>
        <mc:AlternateContent>
          <mc:Choice Requires="wps">
            <w:drawing>
              <wp:anchor distT="45720" distB="45720" distL="114300" distR="114300" simplePos="0" relativeHeight="251658244" behindDoc="0" locked="0" layoutInCell="1" allowOverlap="1" wp14:anchorId="06798FC7" wp14:editId="12A8A658">
                <wp:simplePos x="0" y="0"/>
                <wp:positionH relativeFrom="column">
                  <wp:posOffset>828675</wp:posOffset>
                </wp:positionH>
                <wp:positionV relativeFrom="paragraph">
                  <wp:posOffset>280670</wp:posOffset>
                </wp:positionV>
                <wp:extent cx="4581525" cy="140462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4620"/>
                        </a:xfrm>
                        <a:prstGeom prst="rect">
                          <a:avLst/>
                        </a:prstGeom>
                        <a:solidFill>
                          <a:srgbClr val="FFFFFF"/>
                        </a:solidFill>
                        <a:ln w="9525">
                          <a:noFill/>
                          <a:miter lim="800000"/>
                          <a:headEnd/>
                          <a:tailEnd/>
                        </a:ln>
                      </wps:spPr>
                      <wps:txbx>
                        <w:txbxContent>
                          <w:p w14:paraId="7F28AC4F" w14:textId="07040AB5" w:rsidR="009E2875" w:rsidRPr="008A1E8B" w:rsidRDefault="009E2875" w:rsidP="00305A79">
                            <w:pPr>
                              <w:spacing w:after="0" w:line="240" w:lineRule="auto"/>
                              <w:rPr>
                                <w:rFonts w:ascii="Arial Rounded MT Bold" w:hAnsi="Arial Rounded MT Bold"/>
                                <w:sz w:val="48"/>
                                <w:szCs w:val="48"/>
                              </w:rPr>
                            </w:pPr>
                            <w:r w:rsidRPr="008A1E8B">
                              <w:rPr>
                                <w:rFonts w:ascii="Arial Rounded MT Bold" w:hAnsi="Arial Rounded MT Bold"/>
                                <w:sz w:val="48"/>
                                <w:szCs w:val="48"/>
                              </w:rPr>
                              <w:t>Wellington Region</w:t>
                            </w:r>
                          </w:p>
                          <w:p w14:paraId="56675260" w14:textId="0585FC2E" w:rsidR="009E2875" w:rsidRDefault="009E2875" w:rsidP="00305A79">
                            <w:pPr>
                              <w:spacing w:after="0" w:line="240" w:lineRule="auto"/>
                              <w:rPr>
                                <w:rFonts w:ascii="Arial Rounded MT Bold" w:hAnsi="Arial Rounded MT Bold"/>
                                <w:sz w:val="48"/>
                                <w:szCs w:val="48"/>
                              </w:rPr>
                            </w:pPr>
                            <w:r w:rsidRPr="008A1E8B">
                              <w:rPr>
                                <w:rFonts w:ascii="Arial Rounded MT Bold" w:hAnsi="Arial Rounded MT Bold"/>
                                <w:sz w:val="48"/>
                                <w:szCs w:val="48"/>
                              </w:rPr>
                              <w:t>Spaces and Places Plan</w:t>
                            </w:r>
                          </w:p>
                          <w:p w14:paraId="39144399" w14:textId="145E9902" w:rsidR="009E2875" w:rsidRPr="0053583E" w:rsidRDefault="009E2875" w:rsidP="0053583E">
                            <w:pPr>
                              <w:spacing w:after="0" w:line="240" w:lineRule="auto"/>
                              <w:rPr>
                                <w:rFonts w:ascii="Arial Rounded MT Bold" w:hAnsi="Arial Rounded MT Bold"/>
                                <w:sz w:val="48"/>
                                <w:szCs w:val="48"/>
                              </w:rPr>
                            </w:pPr>
                            <w:r>
                              <w:rPr>
                                <w:rFonts w:ascii="Arial Rounded MT Bold" w:hAnsi="Arial Rounded MT Bold"/>
                                <w:sz w:val="48"/>
                                <w:szCs w:val="4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798FC7" id="_x0000_t202" coordsize="21600,21600" o:spt="202" path="m,l,21600r21600,l21600,xe">
                <v:stroke joinstyle="miter"/>
                <v:path gradientshapeok="t" o:connecttype="rect"/>
              </v:shapetype>
              <v:shape id="Text Box 2" o:spid="_x0000_s1026" type="#_x0000_t202" style="position:absolute;margin-left:65.25pt;margin-top:22.1pt;width:360.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" stroked="f">
                <v:textbox style="mso-fit-shape-to-text:t">
                  <w:txbxContent>
                    <w:p w14:paraId="7F28AC4F" w14:textId="07040AB5" w:rsidR="009E2875" w:rsidRPr="008A1E8B" w:rsidRDefault="009E2875" w:rsidP="00305A79">
                      <w:pPr>
                        <w:spacing w:after="0" w:line="240" w:lineRule="auto"/>
                        <w:rPr>
                          <w:rFonts w:ascii="Arial Rounded MT Bold" w:hAnsi="Arial Rounded MT Bold"/>
                          <w:sz w:val="48"/>
                          <w:szCs w:val="48"/>
                        </w:rPr>
                      </w:pPr>
                      <w:r w:rsidRPr="008A1E8B">
                        <w:rPr>
                          <w:rFonts w:ascii="Arial Rounded MT Bold" w:hAnsi="Arial Rounded MT Bold"/>
                          <w:sz w:val="48"/>
                          <w:szCs w:val="48"/>
                        </w:rPr>
                        <w:t>Wellington Region</w:t>
                      </w:r>
                    </w:p>
                    <w:p w14:paraId="56675260" w14:textId="0585FC2E" w:rsidR="009E2875" w:rsidRDefault="009E2875" w:rsidP="00305A79">
                      <w:pPr>
                        <w:spacing w:after="0" w:line="240" w:lineRule="auto"/>
                        <w:rPr>
                          <w:rFonts w:ascii="Arial Rounded MT Bold" w:hAnsi="Arial Rounded MT Bold"/>
                          <w:sz w:val="48"/>
                          <w:szCs w:val="48"/>
                        </w:rPr>
                      </w:pPr>
                      <w:r w:rsidRPr="008A1E8B">
                        <w:rPr>
                          <w:rFonts w:ascii="Arial Rounded MT Bold" w:hAnsi="Arial Rounded MT Bold"/>
                          <w:sz w:val="48"/>
                          <w:szCs w:val="48"/>
                        </w:rPr>
                        <w:t>Spaces and Places Plan</w:t>
                      </w:r>
                    </w:p>
                    <w:p w14:paraId="39144399" w14:textId="145E9902" w:rsidR="009E2875" w:rsidRPr="0053583E" w:rsidRDefault="009E2875" w:rsidP="0053583E">
                      <w:pPr>
                        <w:spacing w:after="0" w:line="240" w:lineRule="auto"/>
                        <w:rPr>
                          <w:rFonts w:ascii="Arial Rounded MT Bold" w:hAnsi="Arial Rounded MT Bold"/>
                          <w:sz w:val="48"/>
                          <w:szCs w:val="48"/>
                        </w:rPr>
                      </w:pPr>
                      <w:r>
                        <w:rPr>
                          <w:rFonts w:ascii="Arial Rounded MT Bold" w:hAnsi="Arial Rounded MT Bold"/>
                          <w:sz w:val="48"/>
                          <w:szCs w:val="48"/>
                        </w:rPr>
                        <w:t>2019</w:t>
                      </w:r>
                    </w:p>
                  </w:txbxContent>
                </v:textbox>
                <w10:wrap type="square"/>
              </v:shape>
            </w:pict>
          </mc:Fallback>
        </mc:AlternateContent>
      </w:r>
    </w:p>
    <w:p w14:paraId="6A052A20" w14:textId="4AAF512C" w:rsidR="00305A79" w:rsidRPr="008A1E8B" w:rsidRDefault="00305A79" w:rsidP="00305A79">
      <w:pPr>
        <w:spacing w:after="0" w:line="240" w:lineRule="auto"/>
        <w:rPr>
          <w:rFonts w:ascii="Arial Rounded MT Bold" w:hAnsi="Arial Rounded MT Bold"/>
          <w:sz w:val="48"/>
          <w:szCs w:val="48"/>
        </w:rPr>
      </w:pPr>
    </w:p>
    <w:p w14:paraId="3163BB25" w14:textId="42C9E7E4" w:rsidR="008A1E8B" w:rsidRDefault="0053583E">
      <w:r w:rsidRPr="00305A79">
        <w:rPr>
          <w:noProof/>
        </w:rPr>
        <w:drawing>
          <wp:anchor distT="0" distB="0" distL="114300" distR="114300" simplePos="0" relativeHeight="251658245" behindDoc="0" locked="0" layoutInCell="1" allowOverlap="1" wp14:anchorId="7021BA47" wp14:editId="447AAEAA">
            <wp:simplePos x="0" y="0"/>
            <wp:positionH relativeFrom="column">
              <wp:posOffset>5238750</wp:posOffset>
            </wp:positionH>
            <wp:positionV relativeFrom="paragraph">
              <wp:posOffset>147955</wp:posOffset>
            </wp:positionV>
            <wp:extent cx="2857500" cy="2784365"/>
            <wp:effectExtent l="95250" t="76200" r="95250" b="11214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27843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15F3A46E" w14:textId="5060C14B" w:rsidR="008A1E8B" w:rsidRDefault="00305A79">
      <w:r>
        <w:tab/>
      </w:r>
      <w:r>
        <w:tab/>
      </w:r>
    </w:p>
    <w:p w14:paraId="444D77A0" w14:textId="3592FB08" w:rsidR="008A1E8B" w:rsidRDefault="00305A79" w:rsidP="00305A79">
      <w:pPr>
        <w:ind w:firstLine="720"/>
      </w:pPr>
      <w:r>
        <w:tab/>
      </w:r>
    </w:p>
    <w:p w14:paraId="041F7640" w14:textId="04EF37FC" w:rsidR="008A1E8B" w:rsidRDefault="008A1E8B"/>
    <w:p w14:paraId="692581FB" w14:textId="4CEC2DDA" w:rsidR="008A1E8B" w:rsidRDefault="008A1E8B"/>
    <w:p w14:paraId="7D289D62" w14:textId="129C5572" w:rsidR="008A1E8B" w:rsidRDefault="008A1E8B"/>
    <w:p w14:paraId="7498E1A7" w14:textId="1286A134" w:rsidR="008A1E8B" w:rsidRDefault="0053583E">
      <w:r w:rsidRPr="00305A79">
        <w:rPr>
          <w:noProof/>
        </w:rPr>
        <w:drawing>
          <wp:anchor distT="0" distB="0" distL="114300" distR="114300" simplePos="0" relativeHeight="251658243" behindDoc="0" locked="0" layoutInCell="1" allowOverlap="1" wp14:anchorId="06D63BD6" wp14:editId="474168A8">
            <wp:simplePos x="0" y="0"/>
            <wp:positionH relativeFrom="column">
              <wp:posOffset>3714750</wp:posOffset>
            </wp:positionH>
            <wp:positionV relativeFrom="paragraph">
              <wp:posOffset>16510</wp:posOffset>
            </wp:positionV>
            <wp:extent cx="1615966" cy="1524000"/>
            <wp:effectExtent l="76200" t="76200" r="80010" b="895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5966" cy="1524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61FA6285" w14:textId="5DA2672D" w:rsidR="008A1E8B" w:rsidRDefault="008A1E8B"/>
    <w:p w14:paraId="3A5D018A" w14:textId="6354EBE8" w:rsidR="008A1E8B" w:rsidRDefault="008A1E8B"/>
    <w:p w14:paraId="2AF963F8" w14:textId="3C7CE714" w:rsidR="008A1E8B" w:rsidRDefault="008A1E8B"/>
    <w:p w14:paraId="1EB9B6C5" w14:textId="55A56880" w:rsidR="008A1E8B" w:rsidRDefault="008A1E8B"/>
    <w:p w14:paraId="45A6D489" w14:textId="2C346409" w:rsidR="008A1E8B" w:rsidRDefault="008A1E8B"/>
    <w:p w14:paraId="6CE68363" w14:textId="0A314993" w:rsidR="008A1E8B" w:rsidRPr="005D787D" w:rsidRDefault="008A1E8B"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sidRPr="008A1E8B">
        <w:rPr>
          <w:rFonts w:ascii="Arial Rounded MT Bold" w:hAnsi="Arial Rounded MT Bold"/>
          <w:color w:val="2E74B5" w:themeColor="accent5" w:themeShade="BF"/>
          <w:sz w:val="44"/>
          <w:szCs w:val="44"/>
        </w:rPr>
        <w:lastRenderedPageBreak/>
        <w:t>OVERVIEW</w:t>
      </w:r>
    </w:p>
    <w:p w14:paraId="7A9998FF" w14:textId="77777777" w:rsidR="00D12AE6" w:rsidRPr="00D12AE6" w:rsidRDefault="00D12AE6" w:rsidP="00D12AE6">
      <w:pPr>
        <w:spacing w:before="120" w:after="120" w:line="300" w:lineRule="atLeast"/>
        <w:rPr>
          <w:rFonts w:cstheme="minorHAnsi"/>
          <w:b/>
          <w:bCs/>
        </w:rPr>
      </w:pPr>
      <w:r w:rsidRPr="00D12AE6">
        <w:rPr>
          <w:rFonts w:cstheme="minorHAnsi"/>
          <w:b/>
          <w:bCs/>
        </w:rPr>
        <w:t>PURPOSE</w:t>
      </w:r>
    </w:p>
    <w:p w14:paraId="0A6A665F" w14:textId="16BF3209" w:rsidR="008A1E8B" w:rsidRPr="00220D9B" w:rsidRDefault="00D12AE6" w:rsidP="00D12AE6">
      <w:pPr>
        <w:spacing w:before="120" w:after="120" w:line="300" w:lineRule="atLeast"/>
        <w:rPr>
          <w:rFonts w:cstheme="minorHAnsi"/>
          <w:sz w:val="20"/>
          <w:szCs w:val="20"/>
        </w:rPr>
      </w:pPr>
      <w:r w:rsidRPr="00220D9B">
        <w:rPr>
          <w:rFonts w:cstheme="minorHAnsi"/>
          <w:sz w:val="20"/>
          <w:szCs w:val="20"/>
        </w:rPr>
        <w:t>The purpose of this plan is to provide a high-level strategic framework for future regional sports facility planning and optimisation of the current network. The plan emphasises a one-region approach to planning for international, national, regional and sub-regional facilities and provides context for local planning and decision-making about local facilities.</w:t>
      </w:r>
    </w:p>
    <w:p w14:paraId="1165FCBB" w14:textId="213B9221" w:rsidR="00D12AE6" w:rsidRPr="00D12AE6" w:rsidRDefault="00D12AE6" w:rsidP="00D12AE6">
      <w:pPr>
        <w:spacing w:before="120" w:after="120" w:line="300" w:lineRule="atLeast"/>
        <w:rPr>
          <w:rFonts w:cstheme="minorHAnsi"/>
          <w:b/>
          <w:bCs/>
        </w:rPr>
      </w:pPr>
      <w:r w:rsidRPr="00D12AE6">
        <w:rPr>
          <w:rFonts w:cstheme="minorHAnsi"/>
          <w:b/>
          <w:bCs/>
        </w:rPr>
        <w:t>INTRODUCTION</w:t>
      </w:r>
    </w:p>
    <w:p w14:paraId="109D511A" w14:textId="7714397D" w:rsidR="00D12AE6" w:rsidRPr="00220D9B" w:rsidRDefault="00D12AE6" w:rsidP="00220D9B">
      <w:pPr>
        <w:spacing w:before="120" w:after="120" w:line="300" w:lineRule="atLeast"/>
        <w:rPr>
          <w:rFonts w:cstheme="minorHAnsi"/>
          <w:sz w:val="20"/>
          <w:szCs w:val="20"/>
        </w:rPr>
      </w:pPr>
      <w:r w:rsidRPr="00220D9B">
        <w:rPr>
          <w:rFonts w:cstheme="minorHAnsi"/>
          <w:sz w:val="20"/>
          <w:szCs w:val="20"/>
        </w:rPr>
        <w:t>The plan responds to the findings of the Wellington Region Spaces and Places project which provides a stocktake of current assets that make up the regional network of facilities.  The project also includes analysis of existing national and regional facility strategies and available participation and population data sourced predominantly from councils, schools and regional sport organisations.</w:t>
      </w:r>
    </w:p>
    <w:p w14:paraId="7E3D0AA3" w14:textId="0BC3E3C0" w:rsidR="00D12AE6" w:rsidRPr="00220D9B" w:rsidRDefault="00EA7ABD" w:rsidP="00220D9B">
      <w:pPr>
        <w:spacing w:before="120" w:after="120" w:line="300" w:lineRule="atLeast"/>
        <w:rPr>
          <w:rFonts w:cstheme="minorHAnsi"/>
          <w:sz w:val="20"/>
          <w:szCs w:val="20"/>
        </w:rPr>
      </w:pPr>
      <w:r w:rsidRPr="00220D9B">
        <w:rPr>
          <w:noProof/>
          <w:sz w:val="20"/>
          <w:szCs w:val="20"/>
        </w:rPr>
        <w:drawing>
          <wp:anchor distT="0" distB="0" distL="114300" distR="114300" simplePos="0" relativeHeight="251658242" behindDoc="0" locked="0" layoutInCell="1" allowOverlap="1" wp14:anchorId="02047EFD" wp14:editId="542A370C">
            <wp:simplePos x="0" y="0"/>
            <wp:positionH relativeFrom="column">
              <wp:posOffset>6809740</wp:posOffset>
            </wp:positionH>
            <wp:positionV relativeFrom="paragraph">
              <wp:posOffset>316230</wp:posOffset>
            </wp:positionV>
            <wp:extent cx="2800350" cy="2800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page">
              <wp14:pctWidth>0</wp14:pctWidth>
            </wp14:sizeRelH>
            <wp14:sizeRelV relativeFrom="page">
              <wp14:pctHeight>0</wp14:pctHeight>
            </wp14:sizeRelV>
          </wp:anchor>
        </w:drawing>
      </w:r>
      <w:r w:rsidR="00D12AE6" w:rsidRPr="00220D9B">
        <w:rPr>
          <w:rFonts w:cstheme="minorHAnsi"/>
          <w:sz w:val="20"/>
          <w:szCs w:val="20"/>
        </w:rPr>
        <w:t>The context for this work is provided by the region’s active recreation and sport strategy – Living Well – and the facilities approach taken by Sport NZ. The New Zealand Sporting Facilities Framework identified that nationally we have:</w:t>
      </w:r>
    </w:p>
    <w:p w14:paraId="06CE1843" w14:textId="23E10D31" w:rsidR="00D12AE6" w:rsidRPr="00220D9B" w:rsidRDefault="00D12AE6" w:rsidP="00220D9B">
      <w:pPr>
        <w:spacing w:before="120" w:after="120" w:line="300" w:lineRule="atLeast"/>
        <w:contextualSpacing/>
        <w:rPr>
          <w:rFonts w:cstheme="minorHAnsi"/>
          <w:sz w:val="20"/>
          <w:szCs w:val="20"/>
        </w:rPr>
      </w:pPr>
      <w:r w:rsidRPr="00220D9B">
        <w:rPr>
          <w:rFonts w:cstheme="minorHAnsi"/>
          <w:sz w:val="20"/>
          <w:szCs w:val="20"/>
        </w:rPr>
        <w:t>•</w:t>
      </w:r>
      <w:r w:rsidRPr="00220D9B">
        <w:rPr>
          <w:rFonts w:cstheme="minorHAnsi"/>
          <w:sz w:val="20"/>
          <w:szCs w:val="20"/>
        </w:rPr>
        <w:tab/>
        <w:t>gaps and duplications in facility provision</w:t>
      </w:r>
      <w:r w:rsidR="00305A79" w:rsidRPr="00220D9B">
        <w:rPr>
          <w:noProof/>
          <w:sz w:val="20"/>
          <w:szCs w:val="20"/>
        </w:rPr>
        <w:t xml:space="preserve"> </w:t>
      </w:r>
    </w:p>
    <w:p w14:paraId="2B857E5C" w14:textId="6D8205DF" w:rsidR="00D12AE6" w:rsidRPr="00220D9B" w:rsidRDefault="00D12AE6" w:rsidP="00220D9B">
      <w:pPr>
        <w:spacing w:before="120" w:after="120" w:line="300" w:lineRule="atLeast"/>
        <w:contextualSpacing/>
        <w:rPr>
          <w:rFonts w:cstheme="minorHAnsi"/>
          <w:sz w:val="20"/>
          <w:szCs w:val="20"/>
        </w:rPr>
      </w:pPr>
      <w:r w:rsidRPr="00220D9B">
        <w:rPr>
          <w:rFonts w:cstheme="minorHAnsi"/>
          <w:sz w:val="20"/>
          <w:szCs w:val="20"/>
        </w:rPr>
        <w:t>•</w:t>
      </w:r>
      <w:r w:rsidRPr="00220D9B">
        <w:rPr>
          <w:rFonts w:cstheme="minorHAnsi"/>
          <w:sz w:val="20"/>
          <w:szCs w:val="20"/>
        </w:rPr>
        <w:tab/>
        <w:t>facilities that are not fit-for-purpose</w:t>
      </w:r>
    </w:p>
    <w:p w14:paraId="3B4D55DB" w14:textId="52FEC246" w:rsidR="00D12AE6" w:rsidRPr="00220D9B" w:rsidRDefault="00D12AE6" w:rsidP="00220D9B">
      <w:pPr>
        <w:spacing w:before="120" w:after="120" w:line="300" w:lineRule="atLeast"/>
        <w:contextualSpacing/>
        <w:rPr>
          <w:rFonts w:cstheme="minorHAnsi"/>
          <w:sz w:val="20"/>
          <w:szCs w:val="20"/>
        </w:rPr>
      </w:pPr>
      <w:r w:rsidRPr="00220D9B">
        <w:rPr>
          <w:rFonts w:cstheme="minorHAnsi"/>
          <w:sz w:val="20"/>
          <w:szCs w:val="20"/>
        </w:rPr>
        <w:t>•</w:t>
      </w:r>
      <w:r w:rsidRPr="00220D9B">
        <w:rPr>
          <w:rFonts w:cstheme="minorHAnsi"/>
          <w:sz w:val="20"/>
          <w:szCs w:val="20"/>
        </w:rPr>
        <w:tab/>
        <w:t>facilities that we cannot afford</w:t>
      </w:r>
    </w:p>
    <w:p w14:paraId="20E38282" w14:textId="673EA8A8" w:rsidR="00D12AE6" w:rsidRPr="00220D9B" w:rsidRDefault="00D12AE6" w:rsidP="00220D9B">
      <w:pPr>
        <w:spacing w:before="120" w:after="120" w:line="300" w:lineRule="atLeast"/>
        <w:rPr>
          <w:rFonts w:cstheme="minorHAnsi"/>
          <w:sz w:val="20"/>
          <w:szCs w:val="20"/>
        </w:rPr>
      </w:pPr>
      <w:r w:rsidRPr="00220D9B">
        <w:rPr>
          <w:rFonts w:cstheme="minorHAnsi"/>
          <w:sz w:val="20"/>
          <w:szCs w:val="20"/>
        </w:rPr>
        <w:t>•</w:t>
      </w:r>
      <w:r w:rsidRPr="00220D9B">
        <w:rPr>
          <w:rFonts w:cstheme="minorHAnsi"/>
          <w:sz w:val="20"/>
          <w:szCs w:val="20"/>
        </w:rPr>
        <w:tab/>
        <w:t>many facilities due for replacement.</w:t>
      </w:r>
    </w:p>
    <w:p w14:paraId="531287CC" w14:textId="77777777" w:rsidR="00D12AE6" w:rsidRPr="00220D9B" w:rsidRDefault="00D12AE6" w:rsidP="00220D9B">
      <w:pPr>
        <w:spacing w:before="120" w:after="120" w:line="300" w:lineRule="atLeast"/>
        <w:rPr>
          <w:rFonts w:cstheme="minorHAnsi"/>
          <w:sz w:val="20"/>
          <w:szCs w:val="20"/>
        </w:rPr>
      </w:pPr>
      <w:r w:rsidRPr="00220D9B">
        <w:rPr>
          <w:rFonts w:cstheme="minorHAnsi"/>
          <w:sz w:val="20"/>
          <w:szCs w:val="20"/>
        </w:rPr>
        <w:t>In response, Sport NZ has been working to ensure that more New Zealanders have access to better places to participate in sport and active recreation by supporting better planning and design of sports facilities around New Zealand, and by encouraging organisations to plan and to share resources and facilities where that reduces costs and provides better services for participants.</w:t>
      </w:r>
    </w:p>
    <w:p w14:paraId="0D074ED5" w14:textId="54118D8E" w:rsidR="00D12AE6" w:rsidRPr="00220D9B" w:rsidRDefault="00D12AE6" w:rsidP="00220D9B">
      <w:pPr>
        <w:spacing w:before="120" w:after="120" w:line="300" w:lineRule="atLeast"/>
        <w:rPr>
          <w:rFonts w:cstheme="minorHAnsi"/>
          <w:sz w:val="20"/>
          <w:szCs w:val="20"/>
        </w:rPr>
      </w:pPr>
      <w:r w:rsidRPr="00220D9B">
        <w:rPr>
          <w:rFonts w:cstheme="minorHAnsi"/>
          <w:sz w:val="20"/>
          <w:szCs w:val="20"/>
        </w:rPr>
        <w:t xml:space="preserve">Sport and active recreation facilities are key elements of community infrastructure </w:t>
      </w:r>
      <w:r w:rsidR="00220D9B">
        <w:rPr>
          <w:rFonts w:cstheme="minorHAnsi"/>
          <w:sz w:val="20"/>
          <w:szCs w:val="20"/>
        </w:rPr>
        <w:t>and are highly valued by people in the Wellington region</w:t>
      </w:r>
      <w:r w:rsidRPr="00220D9B">
        <w:rPr>
          <w:rFonts w:cstheme="minorHAnsi"/>
          <w:sz w:val="20"/>
          <w:szCs w:val="20"/>
        </w:rPr>
        <w:t>. Investment in facilities supports participation in sport and active recreation and contributes to improved physical activity levels, with subsequent health and wellbeing benefits; social and community benefits through supporting communities to come together around shared interests; and economic development in terms of volunteer services, employment and event revenue.</w:t>
      </w:r>
    </w:p>
    <w:p w14:paraId="3FEF4236" w14:textId="5C29FC0B" w:rsidR="00D12AE6" w:rsidRPr="00220D9B" w:rsidRDefault="00D12AE6" w:rsidP="00220D9B">
      <w:pPr>
        <w:spacing w:before="120" w:after="120" w:line="300" w:lineRule="atLeast"/>
        <w:rPr>
          <w:rFonts w:cstheme="minorHAnsi"/>
          <w:sz w:val="20"/>
          <w:szCs w:val="20"/>
        </w:rPr>
      </w:pPr>
      <w:r w:rsidRPr="00220D9B">
        <w:rPr>
          <w:rFonts w:cstheme="minorHAnsi"/>
          <w:sz w:val="20"/>
          <w:szCs w:val="20"/>
        </w:rPr>
        <w:t xml:space="preserve">While the need for a regional plan has been driven by the national direction set by Sport NZ and was identified as a priority project to implement </w:t>
      </w:r>
      <w:r w:rsidRPr="00220D9B">
        <w:rPr>
          <w:rFonts w:cstheme="minorHAnsi"/>
          <w:i/>
          <w:iCs/>
          <w:sz w:val="20"/>
          <w:szCs w:val="20"/>
        </w:rPr>
        <w:t>Living Well</w:t>
      </w:r>
      <w:r w:rsidRPr="00220D9B">
        <w:rPr>
          <w:rFonts w:cstheme="minorHAnsi"/>
          <w:sz w:val="20"/>
          <w:szCs w:val="20"/>
        </w:rPr>
        <w:t>, the Wellington Region Sport and Active Recreation Strategy, we need to ensure that we have sufficient facilities and the right mix of infrastructure to meet the diverse needs of our expanding and diversifying population to deliver optimal benefits to all.</w:t>
      </w:r>
    </w:p>
    <w:p w14:paraId="54624720" w14:textId="59F0CDB2" w:rsidR="0053583E" w:rsidRPr="005D787D" w:rsidRDefault="0053583E"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lastRenderedPageBreak/>
        <w:t>KEY CONCEPTS</w:t>
      </w:r>
    </w:p>
    <w:p w14:paraId="19AA6A24" w14:textId="77777777" w:rsidR="00CD7D40" w:rsidRPr="0053583E" w:rsidRDefault="00CD7D40" w:rsidP="00CD7D40"/>
    <w:tbl>
      <w:tblPr>
        <w:tblStyle w:val="TableTheme"/>
        <w:tblW w:w="0" w:type="auto"/>
        <w:tblLook w:val="04A0" w:firstRow="1" w:lastRow="0" w:firstColumn="1" w:lastColumn="0" w:noHBand="0" w:noVBand="1"/>
      </w:tblPr>
      <w:tblGrid>
        <w:gridCol w:w="6974"/>
        <w:gridCol w:w="6974"/>
      </w:tblGrid>
      <w:tr w:rsidR="0053583E" w14:paraId="5F5D3123" w14:textId="77777777" w:rsidTr="00A44954">
        <w:tc>
          <w:tcPr>
            <w:tcW w:w="6974" w:type="dxa"/>
            <w:tcBorders>
              <w:top w:val="nil"/>
              <w:left w:val="nil"/>
              <w:bottom w:val="single" w:sz="4" w:space="0" w:color="auto"/>
            </w:tcBorders>
          </w:tcPr>
          <w:p w14:paraId="2B86F316" w14:textId="0B8A59CE" w:rsidR="0053583E" w:rsidRPr="0053583E" w:rsidRDefault="0053583E" w:rsidP="0053583E">
            <w:pPr>
              <w:spacing w:before="120" w:after="120" w:line="300" w:lineRule="atLeast"/>
              <w:rPr>
                <w:rFonts w:cstheme="minorHAnsi"/>
                <w:b/>
                <w:bCs/>
              </w:rPr>
            </w:pPr>
            <w:r w:rsidRPr="0053583E">
              <w:rPr>
                <w:rFonts w:cstheme="minorHAnsi"/>
                <w:b/>
                <w:bCs/>
              </w:rPr>
              <w:t>FACILITY HIERARCHY</w:t>
            </w:r>
          </w:p>
          <w:p w14:paraId="47686939" w14:textId="03D7DAB2" w:rsidR="0053583E" w:rsidRPr="00EA7ABD" w:rsidRDefault="0053583E" w:rsidP="0053583E">
            <w:pPr>
              <w:spacing w:before="120" w:after="120" w:line="300" w:lineRule="atLeast"/>
              <w:rPr>
                <w:rFonts w:cstheme="minorHAnsi"/>
                <w:sz w:val="20"/>
                <w:szCs w:val="20"/>
              </w:rPr>
            </w:pPr>
            <w:r w:rsidRPr="00EA7ABD">
              <w:rPr>
                <w:rFonts w:cstheme="minorHAnsi"/>
                <w:sz w:val="20"/>
                <w:szCs w:val="20"/>
              </w:rPr>
              <w:t>The facility hierarchy allows us to distinguish the different types and levels of activity that can be run within facilities. The hierarchy distinguishes between:</w:t>
            </w:r>
          </w:p>
          <w:p w14:paraId="0AED92D1" w14:textId="402556E9" w:rsidR="0053583E" w:rsidRPr="00EA7ABD" w:rsidRDefault="00A44954"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International</w:t>
            </w:r>
          </w:p>
          <w:p w14:paraId="6382E31C" w14:textId="324E7578" w:rsidR="0053583E" w:rsidRPr="00EA7ABD" w:rsidRDefault="0053583E"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National</w:t>
            </w:r>
          </w:p>
          <w:p w14:paraId="06FD42BB" w14:textId="49E633C6" w:rsidR="0053583E" w:rsidRPr="00EA7ABD" w:rsidRDefault="0053583E"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Regional</w:t>
            </w:r>
          </w:p>
          <w:p w14:paraId="1F5D0AE6" w14:textId="6E08EF35" w:rsidR="0053583E" w:rsidRPr="00EA7ABD" w:rsidRDefault="0053583E"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Sub-regional</w:t>
            </w:r>
          </w:p>
          <w:p w14:paraId="67CDA6DC" w14:textId="04E58052" w:rsidR="0053583E" w:rsidRPr="00EA7ABD" w:rsidRDefault="0053583E"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City/District</w:t>
            </w:r>
          </w:p>
          <w:p w14:paraId="214E3F30" w14:textId="77777777" w:rsidR="0053583E" w:rsidRPr="00EA7ABD" w:rsidRDefault="0053583E" w:rsidP="00A44954">
            <w:pPr>
              <w:pStyle w:val="ListParagraph"/>
              <w:numPr>
                <w:ilvl w:val="0"/>
                <w:numId w:val="2"/>
              </w:numPr>
              <w:spacing w:before="120" w:after="120" w:line="300" w:lineRule="atLeast"/>
              <w:rPr>
                <w:rFonts w:cstheme="minorHAnsi"/>
                <w:sz w:val="20"/>
                <w:szCs w:val="20"/>
              </w:rPr>
            </w:pPr>
            <w:r w:rsidRPr="00EA7ABD">
              <w:rPr>
                <w:rFonts w:cstheme="minorHAnsi"/>
                <w:sz w:val="20"/>
                <w:szCs w:val="20"/>
              </w:rPr>
              <w:t>Local</w:t>
            </w:r>
          </w:p>
          <w:p w14:paraId="4B4256D6" w14:textId="1E05B810" w:rsidR="005F0C05" w:rsidRPr="005F0C05" w:rsidRDefault="005F0C05" w:rsidP="005F0C05">
            <w:pPr>
              <w:spacing w:before="120" w:after="120" w:line="300" w:lineRule="atLeast"/>
              <w:rPr>
                <w:rFonts w:cstheme="minorHAnsi"/>
              </w:rPr>
            </w:pPr>
            <w:r w:rsidRPr="00EA7ABD">
              <w:rPr>
                <w:rFonts w:cstheme="minorHAnsi"/>
                <w:sz w:val="20"/>
                <w:szCs w:val="20"/>
              </w:rPr>
              <w:t>(See Appendix 2 for an explanation of the facility hierarchy)</w:t>
            </w:r>
          </w:p>
        </w:tc>
        <w:tc>
          <w:tcPr>
            <w:tcW w:w="6974" w:type="dxa"/>
            <w:tcBorders>
              <w:top w:val="nil"/>
              <w:bottom w:val="single" w:sz="4" w:space="0" w:color="auto"/>
              <w:right w:val="nil"/>
            </w:tcBorders>
          </w:tcPr>
          <w:p w14:paraId="4EE74EF8" w14:textId="77777777" w:rsidR="0053583E" w:rsidRDefault="0053583E" w:rsidP="0053583E">
            <w:pPr>
              <w:spacing w:before="120" w:after="120" w:line="300" w:lineRule="atLeast"/>
              <w:rPr>
                <w:rFonts w:cstheme="minorHAnsi"/>
                <w:b/>
                <w:bCs/>
              </w:rPr>
            </w:pPr>
            <w:r>
              <w:rPr>
                <w:rFonts w:cstheme="minorHAnsi"/>
                <w:b/>
                <w:bCs/>
              </w:rPr>
              <w:t>FACILITY PLANNING PRINCIPLES</w:t>
            </w:r>
          </w:p>
          <w:p w14:paraId="0D444640" w14:textId="77777777" w:rsidR="00A44954" w:rsidRPr="00EA7ABD" w:rsidRDefault="00A44954" w:rsidP="0053583E">
            <w:pPr>
              <w:spacing w:before="120" w:after="120" w:line="300" w:lineRule="atLeast"/>
              <w:rPr>
                <w:rFonts w:cstheme="minorHAnsi"/>
                <w:sz w:val="20"/>
                <w:szCs w:val="20"/>
              </w:rPr>
            </w:pPr>
            <w:r w:rsidRPr="00EA7ABD">
              <w:rPr>
                <w:rFonts w:cstheme="minorHAnsi"/>
                <w:sz w:val="20"/>
                <w:szCs w:val="20"/>
              </w:rPr>
              <w:t>The facility planning principles used in this plan are aligned with the New Zealand National Sporting Facilities Framework and underpin the approach we want to take when considering any facility development including new builds, upgrades, re-purposing or rationalising. The principles are:</w:t>
            </w:r>
          </w:p>
          <w:p w14:paraId="145FEBCF" w14:textId="77777777" w:rsidR="00A44954" w:rsidRPr="00EA7ABD" w:rsidRDefault="00A44954" w:rsidP="00A44954">
            <w:pPr>
              <w:pStyle w:val="ListParagraph"/>
              <w:numPr>
                <w:ilvl w:val="0"/>
                <w:numId w:val="3"/>
              </w:numPr>
              <w:spacing w:before="120" w:after="120" w:line="300" w:lineRule="atLeast"/>
              <w:rPr>
                <w:rFonts w:cstheme="minorHAnsi"/>
                <w:sz w:val="20"/>
                <w:szCs w:val="20"/>
              </w:rPr>
            </w:pPr>
            <w:r w:rsidRPr="00EA7ABD">
              <w:rPr>
                <w:rFonts w:cstheme="minorHAnsi"/>
                <w:sz w:val="20"/>
                <w:szCs w:val="20"/>
              </w:rPr>
              <w:t>Meeting an identified need</w:t>
            </w:r>
          </w:p>
          <w:p w14:paraId="2CE91C19" w14:textId="77777777" w:rsidR="00A44954" w:rsidRPr="00EA7ABD" w:rsidRDefault="00A44954" w:rsidP="00A44954">
            <w:pPr>
              <w:pStyle w:val="ListParagraph"/>
              <w:numPr>
                <w:ilvl w:val="0"/>
                <w:numId w:val="3"/>
              </w:numPr>
              <w:spacing w:before="120" w:after="120" w:line="300" w:lineRule="atLeast"/>
              <w:rPr>
                <w:rFonts w:cstheme="minorHAnsi"/>
                <w:sz w:val="20"/>
                <w:szCs w:val="20"/>
              </w:rPr>
            </w:pPr>
            <w:r w:rsidRPr="00EA7ABD">
              <w:rPr>
                <w:rFonts w:cstheme="minorHAnsi"/>
                <w:sz w:val="20"/>
                <w:szCs w:val="20"/>
              </w:rPr>
              <w:t xml:space="preserve">Sustainability </w:t>
            </w:r>
          </w:p>
          <w:p w14:paraId="197FF71F" w14:textId="16E291B4" w:rsidR="00A44954" w:rsidRPr="00EA7ABD" w:rsidRDefault="00A44954" w:rsidP="00A44954">
            <w:pPr>
              <w:pStyle w:val="ListParagraph"/>
              <w:numPr>
                <w:ilvl w:val="0"/>
                <w:numId w:val="3"/>
              </w:numPr>
              <w:spacing w:before="120" w:after="120" w:line="300" w:lineRule="atLeast"/>
              <w:rPr>
                <w:rFonts w:cstheme="minorHAnsi"/>
                <w:sz w:val="20"/>
                <w:szCs w:val="20"/>
              </w:rPr>
            </w:pPr>
            <w:r w:rsidRPr="00EA7ABD">
              <w:rPr>
                <w:rFonts w:cstheme="minorHAnsi"/>
                <w:sz w:val="20"/>
                <w:szCs w:val="20"/>
              </w:rPr>
              <w:t>Partnering and collaboration</w:t>
            </w:r>
          </w:p>
          <w:p w14:paraId="30DCDCEB" w14:textId="77777777" w:rsidR="00A44954" w:rsidRPr="00EA7ABD" w:rsidRDefault="00A44954" w:rsidP="00A44954">
            <w:pPr>
              <w:pStyle w:val="ListParagraph"/>
              <w:numPr>
                <w:ilvl w:val="0"/>
                <w:numId w:val="3"/>
              </w:numPr>
              <w:spacing w:before="120" w:after="120" w:line="300" w:lineRule="atLeast"/>
              <w:rPr>
                <w:rFonts w:cstheme="minorHAnsi"/>
                <w:sz w:val="20"/>
                <w:szCs w:val="20"/>
              </w:rPr>
            </w:pPr>
            <w:r w:rsidRPr="00EA7ABD">
              <w:rPr>
                <w:rFonts w:cstheme="minorHAnsi"/>
                <w:sz w:val="20"/>
                <w:szCs w:val="20"/>
              </w:rPr>
              <w:t>Integration and multi-use</w:t>
            </w:r>
          </w:p>
          <w:p w14:paraId="30C21AB6" w14:textId="77777777" w:rsidR="00A44954" w:rsidRPr="00EA7ABD" w:rsidRDefault="00CD7D40" w:rsidP="00A44954">
            <w:pPr>
              <w:pStyle w:val="ListParagraph"/>
              <w:numPr>
                <w:ilvl w:val="0"/>
                <w:numId w:val="3"/>
              </w:numPr>
              <w:spacing w:before="120" w:after="120" w:line="300" w:lineRule="atLeast"/>
              <w:rPr>
                <w:rFonts w:cstheme="minorHAnsi"/>
                <w:sz w:val="20"/>
                <w:szCs w:val="20"/>
              </w:rPr>
            </w:pPr>
            <w:r w:rsidRPr="00EA7ABD">
              <w:rPr>
                <w:rFonts w:cstheme="minorHAnsi"/>
                <w:sz w:val="20"/>
                <w:szCs w:val="20"/>
              </w:rPr>
              <w:t>Flexibility</w:t>
            </w:r>
          </w:p>
          <w:p w14:paraId="4B0A25E9" w14:textId="1E8D6257" w:rsidR="00CD7D40" w:rsidRPr="00A44954" w:rsidRDefault="00CD7D40" w:rsidP="00A44954">
            <w:pPr>
              <w:pStyle w:val="ListParagraph"/>
              <w:numPr>
                <w:ilvl w:val="0"/>
                <w:numId w:val="3"/>
              </w:numPr>
              <w:spacing w:before="120" w:after="120" w:line="300" w:lineRule="atLeast"/>
              <w:rPr>
                <w:rFonts w:cstheme="minorHAnsi"/>
              </w:rPr>
            </w:pPr>
            <w:r w:rsidRPr="00EA7ABD">
              <w:rPr>
                <w:rFonts w:cstheme="minorHAnsi"/>
                <w:sz w:val="20"/>
                <w:szCs w:val="20"/>
              </w:rPr>
              <w:t>Inclusive and equitable access</w:t>
            </w:r>
          </w:p>
        </w:tc>
      </w:tr>
      <w:tr w:rsidR="0053583E" w14:paraId="2AB1FB43" w14:textId="77777777" w:rsidTr="00A44954">
        <w:tc>
          <w:tcPr>
            <w:tcW w:w="6974" w:type="dxa"/>
            <w:tcBorders>
              <w:left w:val="nil"/>
              <w:bottom w:val="nil"/>
            </w:tcBorders>
          </w:tcPr>
          <w:p w14:paraId="46823C5F" w14:textId="3B25BD74" w:rsidR="0053583E" w:rsidRDefault="00CD7D40" w:rsidP="0053583E">
            <w:pPr>
              <w:spacing w:before="120" w:after="120" w:line="300" w:lineRule="atLeast"/>
              <w:rPr>
                <w:rFonts w:cstheme="minorHAnsi"/>
                <w:b/>
                <w:bCs/>
              </w:rPr>
            </w:pPr>
            <w:r>
              <w:rPr>
                <w:rFonts w:cstheme="minorHAnsi"/>
                <w:b/>
                <w:bCs/>
              </w:rPr>
              <w:t>REGIONAL COLLABORATION</w:t>
            </w:r>
          </w:p>
          <w:p w14:paraId="001ECC70" w14:textId="4C5C4661" w:rsidR="00CD7D40" w:rsidRPr="00EA7ABD" w:rsidRDefault="00CD7D40" w:rsidP="0053583E">
            <w:pPr>
              <w:spacing w:before="120" w:after="120" w:line="300" w:lineRule="atLeast"/>
              <w:rPr>
                <w:rFonts w:cstheme="minorHAnsi"/>
                <w:sz w:val="20"/>
                <w:szCs w:val="20"/>
              </w:rPr>
            </w:pPr>
            <w:r w:rsidRPr="00EA7ABD">
              <w:rPr>
                <w:rFonts w:cstheme="minorHAnsi"/>
                <w:sz w:val="20"/>
                <w:szCs w:val="20"/>
              </w:rPr>
              <w:t xml:space="preserve">This plan advocates for greater regional collaboration </w:t>
            </w:r>
            <w:r w:rsidR="0098661B">
              <w:rPr>
                <w:rFonts w:cstheme="minorHAnsi"/>
                <w:sz w:val="20"/>
                <w:szCs w:val="20"/>
              </w:rPr>
              <w:t xml:space="preserve">around </w:t>
            </w:r>
            <w:r w:rsidRPr="00EA7ABD">
              <w:rPr>
                <w:rFonts w:cstheme="minorHAnsi"/>
                <w:sz w:val="20"/>
                <w:szCs w:val="20"/>
              </w:rPr>
              <w:t>planning and investment for higher-level facilities</w:t>
            </w:r>
            <w:r w:rsidR="009114FD" w:rsidRPr="00EA7ABD">
              <w:rPr>
                <w:rFonts w:cstheme="minorHAnsi"/>
                <w:sz w:val="20"/>
                <w:szCs w:val="20"/>
              </w:rPr>
              <w:t xml:space="preserve"> i.e. those that sit at regional or higher on the facility hierarchy. Across the wider network there are around 50 higher-level facilities.</w:t>
            </w:r>
            <w:r w:rsidR="009114FD" w:rsidRPr="00EA7ABD">
              <w:rPr>
                <w:noProof/>
                <w:sz w:val="20"/>
                <w:szCs w:val="20"/>
              </w:rPr>
              <w:t xml:space="preserve"> </w:t>
            </w:r>
          </w:p>
          <w:p w14:paraId="1532EF39" w14:textId="01484B07" w:rsidR="00CD7D40" w:rsidRPr="0053583E" w:rsidRDefault="005D787D" w:rsidP="005D787D">
            <w:pPr>
              <w:spacing w:before="120" w:after="120" w:line="300" w:lineRule="atLeast"/>
              <w:jc w:val="center"/>
              <w:rPr>
                <w:rFonts w:cstheme="minorHAnsi"/>
                <w:b/>
                <w:bCs/>
              </w:rPr>
            </w:pPr>
            <w:r>
              <w:rPr>
                <w:noProof/>
              </w:rPr>
              <w:drawing>
                <wp:inline distT="0" distB="0" distL="0" distR="0" wp14:anchorId="4D730BE8" wp14:editId="744C8EC3">
                  <wp:extent cx="2361294" cy="13906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2759" cy="1420960"/>
                          </a:xfrm>
                          <a:prstGeom prst="rect">
                            <a:avLst/>
                          </a:prstGeom>
                        </pic:spPr>
                      </pic:pic>
                    </a:graphicData>
                  </a:graphic>
                </wp:inline>
              </w:drawing>
            </w:r>
          </w:p>
        </w:tc>
        <w:tc>
          <w:tcPr>
            <w:tcW w:w="6974" w:type="dxa"/>
            <w:tcBorders>
              <w:bottom w:val="nil"/>
              <w:right w:val="nil"/>
            </w:tcBorders>
          </w:tcPr>
          <w:p w14:paraId="0AB2FD5D" w14:textId="77777777" w:rsidR="0053583E" w:rsidRDefault="0053583E" w:rsidP="0053583E">
            <w:pPr>
              <w:spacing w:before="120" w:after="120" w:line="300" w:lineRule="atLeast"/>
              <w:rPr>
                <w:rFonts w:cstheme="minorHAnsi"/>
                <w:b/>
                <w:bCs/>
              </w:rPr>
            </w:pPr>
            <w:r>
              <w:rPr>
                <w:rFonts w:cstheme="minorHAnsi"/>
                <w:b/>
                <w:bCs/>
              </w:rPr>
              <w:t>REGIONAL FACILITY NETWO</w:t>
            </w:r>
            <w:r w:rsidR="00A44954">
              <w:rPr>
                <w:rFonts w:cstheme="minorHAnsi"/>
                <w:b/>
                <w:bCs/>
              </w:rPr>
              <w:t>R</w:t>
            </w:r>
            <w:r>
              <w:rPr>
                <w:rFonts w:cstheme="minorHAnsi"/>
                <w:b/>
                <w:bCs/>
              </w:rPr>
              <w:t>K</w:t>
            </w:r>
          </w:p>
          <w:p w14:paraId="5E101993" w14:textId="251653B6" w:rsidR="009114FD" w:rsidRPr="00EA7ABD" w:rsidRDefault="009114FD" w:rsidP="0053583E">
            <w:pPr>
              <w:spacing w:before="120" w:after="120" w:line="300" w:lineRule="atLeast"/>
              <w:rPr>
                <w:rFonts w:cstheme="minorHAnsi"/>
                <w:sz w:val="20"/>
                <w:szCs w:val="20"/>
              </w:rPr>
            </w:pPr>
            <w:r w:rsidRPr="00EA7ABD">
              <w:rPr>
                <w:rFonts w:cstheme="minorHAnsi"/>
                <w:sz w:val="20"/>
                <w:szCs w:val="20"/>
              </w:rPr>
              <w:t>The wider facility network comprises around 1300 facilities of differing types. Most spaces and places have a designation of district/city or local and therefore come under the consideration of individual councils. What we are advocating for is local spaces and places decision-making to be considered in the context of the wider network.</w:t>
            </w:r>
          </w:p>
        </w:tc>
      </w:tr>
    </w:tbl>
    <w:p w14:paraId="2FAF982A" w14:textId="1E3F4186" w:rsidR="005F0C05" w:rsidRPr="005D787D" w:rsidRDefault="005F0C05"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lastRenderedPageBreak/>
        <w:t>CURRENT STATE</w:t>
      </w:r>
    </w:p>
    <w:p w14:paraId="09F9A8C9" w14:textId="73807501" w:rsidR="005F0C05" w:rsidRPr="005F0C05" w:rsidRDefault="005F0C05" w:rsidP="005F0C05">
      <w:pPr>
        <w:spacing w:before="120" w:after="120" w:line="300" w:lineRule="atLeast"/>
        <w:rPr>
          <w:rFonts w:cstheme="minorHAnsi"/>
          <w:sz w:val="20"/>
          <w:szCs w:val="20"/>
        </w:rPr>
      </w:pPr>
      <w:r w:rsidRPr="005F0C05">
        <w:rPr>
          <w:rFonts w:cstheme="minorHAnsi"/>
          <w:noProof/>
          <w:color w:val="2F5496" w:themeColor="accent1" w:themeShade="BF"/>
          <w:sz w:val="24"/>
          <w:szCs w:val="24"/>
        </w:rPr>
        <w:drawing>
          <wp:anchor distT="0" distB="0" distL="114300" distR="114300" simplePos="0" relativeHeight="251658246" behindDoc="0" locked="0" layoutInCell="1" allowOverlap="1" wp14:anchorId="0ED26B34" wp14:editId="0D07A2EE">
            <wp:simplePos x="0" y="0"/>
            <wp:positionH relativeFrom="column">
              <wp:posOffset>6089015</wp:posOffset>
            </wp:positionH>
            <wp:positionV relativeFrom="paragraph">
              <wp:posOffset>427355</wp:posOffset>
            </wp:positionV>
            <wp:extent cx="2921635" cy="24288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1635" cy="2428875"/>
                    </a:xfrm>
                    <a:prstGeom prst="rect">
                      <a:avLst/>
                    </a:prstGeom>
                    <a:noFill/>
                  </pic:spPr>
                </pic:pic>
              </a:graphicData>
            </a:graphic>
            <wp14:sizeRelH relativeFrom="page">
              <wp14:pctWidth>0</wp14:pctWidth>
            </wp14:sizeRelH>
            <wp14:sizeRelV relativeFrom="page">
              <wp14:pctHeight>0</wp14:pctHeight>
            </wp14:sizeRelV>
          </wp:anchor>
        </w:drawing>
      </w:r>
      <w:r w:rsidRPr="005F0C05">
        <w:rPr>
          <w:rFonts w:cstheme="minorHAnsi"/>
          <w:sz w:val="20"/>
          <w:szCs w:val="20"/>
        </w:rPr>
        <w:t>The regional network of facilities (as identified through the regional spaces and places project) comprises around 1300 facility entries. Of these just over 50 have a minimum designation of regional</w:t>
      </w:r>
      <w:r w:rsidRPr="00A73600">
        <w:rPr>
          <w:rFonts w:cstheme="minorHAnsi"/>
          <w:sz w:val="20"/>
          <w:szCs w:val="20"/>
        </w:rPr>
        <w:t>.</w:t>
      </w:r>
      <w:r w:rsidRPr="005F0C05">
        <w:rPr>
          <w:rFonts w:cstheme="minorHAnsi"/>
          <w:sz w:val="20"/>
          <w:szCs w:val="20"/>
        </w:rPr>
        <w:t xml:space="preserve"> </w:t>
      </w:r>
      <w:r w:rsidRPr="00A73600">
        <w:rPr>
          <w:rFonts w:cstheme="minorHAnsi"/>
          <w:sz w:val="20"/>
          <w:szCs w:val="20"/>
        </w:rPr>
        <w:t xml:space="preserve"> </w:t>
      </w:r>
      <w:r w:rsidRPr="005F0C05">
        <w:rPr>
          <w:rFonts w:cstheme="minorHAnsi"/>
          <w:sz w:val="20"/>
          <w:szCs w:val="20"/>
        </w:rPr>
        <w:t>From a regional investment and decision-making perspective only regional, national, and international spaces and places are considered. However, we would hope that individual councils’ planning and decision-making at a sub-regional, district/city or local level considers the wider network and applies the principles for facility investment and decision-making.</w:t>
      </w:r>
    </w:p>
    <w:p w14:paraId="49CCEE33" w14:textId="77777777" w:rsidR="005F0C05" w:rsidRPr="005F0C05" w:rsidRDefault="005F0C05" w:rsidP="005F0C05">
      <w:pPr>
        <w:spacing w:before="120" w:after="120" w:line="300" w:lineRule="atLeast"/>
        <w:rPr>
          <w:rFonts w:cstheme="minorHAnsi"/>
          <w:color w:val="2F5496" w:themeColor="accent1" w:themeShade="BF"/>
          <w:sz w:val="24"/>
          <w:szCs w:val="24"/>
        </w:rPr>
      </w:pPr>
      <w:bookmarkStart w:id="1" w:name="_Hlk6912490"/>
      <w:r w:rsidRPr="005F0C05">
        <w:rPr>
          <w:rFonts w:cstheme="minorHAnsi"/>
          <w:color w:val="2F5496" w:themeColor="accent1" w:themeShade="BF"/>
          <w:sz w:val="24"/>
          <w:szCs w:val="24"/>
        </w:rPr>
        <w:t xml:space="preserve">What we know about our current network </w:t>
      </w:r>
    </w:p>
    <w:bookmarkEnd w:id="1"/>
    <w:p w14:paraId="55DB09CB" w14:textId="77777777" w:rsidR="005F0C05" w:rsidRPr="005F0C05" w:rsidRDefault="005F0C05" w:rsidP="005F0C05">
      <w:pPr>
        <w:spacing w:before="120" w:after="120" w:line="300" w:lineRule="atLeast"/>
        <w:rPr>
          <w:rFonts w:cstheme="minorHAnsi"/>
          <w:sz w:val="20"/>
          <w:szCs w:val="20"/>
        </w:rPr>
      </w:pPr>
      <w:r w:rsidRPr="005F0C05">
        <w:rPr>
          <w:rFonts w:cstheme="minorHAnsi"/>
          <w:sz w:val="20"/>
          <w:szCs w:val="20"/>
        </w:rPr>
        <w:t>Analysis of the current state of the network identifies the following:</w:t>
      </w:r>
    </w:p>
    <w:p w14:paraId="4F13A6D5"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In general, the region does not have many facility gaps. However, it does have capacity issues in key locations, at peak times, and for certain facility types such as indoor court spaces and specialised indoor venues such as those used for gym sports (amongst others). For some sports experiencing declining numbers there is an over-provision of facilities e.g. tennis, bowls and golf.</w:t>
      </w:r>
    </w:p>
    <w:p w14:paraId="3FF41D69"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Often demand pressures are most acute outside weekday working hours when the use of facilities is at its highest. Partnerships with schools may assist with meeting peak time demand, especially for indoor court facilities.</w:t>
      </w:r>
    </w:p>
    <w:p w14:paraId="13190B6E"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The region has an aging network of facilities across all facility types, particularly club facilities such as clubrooms and courts. Many of these are likely to become increasingly unsustainable as they age and face growing maintenance costs which may well be beyond the means of the codes and clubs that own and use them.</w:t>
      </w:r>
    </w:p>
    <w:p w14:paraId="42D83CF9"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The region has several characteristics that make it susceptible to different types of natural disasters. This, together with the age and location of many of our key assets means the facility network has potential resilience challenges.</w:t>
      </w:r>
    </w:p>
    <w:p w14:paraId="7CA7F744"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The scale of the required optimisation of the facility network far outstrips the region’s current funding resources. This is most relevant to sports club facilities where the necessary interventions (such as rationalisation, repurposing of assets, and facility development) are currently being constrained.</w:t>
      </w:r>
    </w:p>
    <w:p w14:paraId="52C5F199" w14:textId="77777777" w:rsidR="005F0C05" w:rsidRPr="005F0C05" w:rsidRDefault="005F0C05" w:rsidP="005F0C05">
      <w:pPr>
        <w:numPr>
          <w:ilvl w:val="0"/>
          <w:numId w:val="4"/>
        </w:numPr>
        <w:spacing w:before="120" w:after="120" w:line="300" w:lineRule="atLeast"/>
        <w:rPr>
          <w:rFonts w:cstheme="minorHAnsi"/>
          <w:sz w:val="20"/>
          <w:szCs w:val="20"/>
        </w:rPr>
      </w:pPr>
      <w:r w:rsidRPr="005F0C05">
        <w:rPr>
          <w:rFonts w:cstheme="minorHAnsi"/>
          <w:sz w:val="20"/>
          <w:szCs w:val="20"/>
        </w:rPr>
        <w:t>The region lacks a collective vision, approach and means for evaluating facility investments and other facility decisions. This hampers the formation of partnerships and makes decisions for third party funders more difficult.</w:t>
      </w:r>
    </w:p>
    <w:p w14:paraId="577ACB8F" w14:textId="7AB28C3A" w:rsidR="0053583E" w:rsidRDefault="0053583E" w:rsidP="0053583E">
      <w:pPr>
        <w:spacing w:before="120" w:after="120" w:line="300" w:lineRule="atLeast"/>
        <w:rPr>
          <w:rFonts w:cstheme="minorHAnsi"/>
          <w:b/>
          <w:bCs/>
        </w:rPr>
      </w:pPr>
    </w:p>
    <w:p w14:paraId="071A8298" w14:textId="53F43A16" w:rsidR="00220D9B" w:rsidRPr="005D787D" w:rsidRDefault="005F0C05"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sidRPr="005F0C05">
        <w:rPr>
          <w:rFonts w:ascii="Arial Rounded MT Bold" w:hAnsi="Arial Rounded MT Bold"/>
          <w:color w:val="2E74B5" w:themeColor="accent5" w:themeShade="BF"/>
          <w:sz w:val="44"/>
          <w:szCs w:val="44"/>
        </w:rPr>
        <w:lastRenderedPageBreak/>
        <w:t xml:space="preserve">CURRENT CHALLENGES </w:t>
      </w:r>
    </w:p>
    <w:p w14:paraId="5B6538F4" w14:textId="77777777" w:rsidR="00220D9B" w:rsidRPr="00220D9B" w:rsidRDefault="00220D9B" w:rsidP="00220D9B">
      <w:pPr>
        <w:rPr>
          <w:rFonts w:ascii="Arial Rounded MT Bold" w:hAnsi="Arial Rounded MT Bold"/>
          <w:color w:val="2E74B5" w:themeColor="accent5" w:themeShade="BF"/>
          <w:sz w:val="20"/>
          <w:szCs w:val="20"/>
        </w:rPr>
      </w:pPr>
    </w:p>
    <w:tbl>
      <w:tblPr>
        <w:tblStyle w:val="TableGrid"/>
        <w:tblW w:w="0" w:type="auto"/>
        <w:tblInd w:w="142" w:type="dxa"/>
        <w:tblLook w:val="04A0" w:firstRow="1" w:lastRow="0" w:firstColumn="1" w:lastColumn="0" w:noHBand="0" w:noVBand="1"/>
      </w:tblPr>
      <w:tblGrid>
        <w:gridCol w:w="4809"/>
        <w:gridCol w:w="4811"/>
        <w:gridCol w:w="4808"/>
      </w:tblGrid>
      <w:tr w:rsidR="00220D9B" w14:paraId="4B72E88E" w14:textId="77777777" w:rsidTr="00730D15">
        <w:tc>
          <w:tcPr>
            <w:tcW w:w="4853" w:type="dxa"/>
            <w:tcBorders>
              <w:top w:val="nil"/>
              <w:left w:val="nil"/>
              <w:bottom w:val="single" w:sz="4" w:space="0" w:color="auto"/>
            </w:tcBorders>
          </w:tcPr>
          <w:p w14:paraId="5BEA56B5" w14:textId="77777777" w:rsidR="00220D9B" w:rsidRPr="00220D9B" w:rsidRDefault="00220D9B" w:rsidP="00220D9B">
            <w:pPr>
              <w:numPr>
                <w:ilvl w:val="0"/>
                <w:numId w:val="5"/>
              </w:numPr>
              <w:spacing w:before="120"/>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Population growth, distribution, and changing demographics</w:t>
            </w:r>
          </w:p>
          <w:p w14:paraId="480D3831" w14:textId="77777777" w:rsidR="00220D9B" w:rsidRPr="00220D9B" w:rsidRDefault="00220D9B" w:rsidP="00220D9B">
            <w:pPr>
              <w:spacing w:before="120" w:after="120" w:line="300" w:lineRule="atLeast"/>
              <w:ind w:left="567"/>
              <w:contextualSpacing/>
              <w:rPr>
                <w:rFonts w:cstheme="minorHAnsi"/>
                <w:sz w:val="20"/>
                <w:szCs w:val="20"/>
              </w:rPr>
            </w:pPr>
            <w:r w:rsidRPr="00220D9B">
              <w:rPr>
                <w:rFonts w:cstheme="minorHAnsi"/>
                <w:sz w:val="20"/>
                <w:szCs w:val="20"/>
              </w:rPr>
              <w:t>Regionally projected population growth will be localised and relatively uneven leading to the emergence of different facility needs. Irrespective of overall growth, projections indicate the population will also be aging in all districts, with the most relative age group growth projected to be among those aged over 65 years.</w:t>
            </w:r>
          </w:p>
          <w:p w14:paraId="048FBDB5" w14:textId="788394BE" w:rsidR="00220D9B" w:rsidRPr="00220D9B" w:rsidRDefault="00220D9B" w:rsidP="00220D9B">
            <w:pPr>
              <w:spacing w:before="120" w:after="120" w:line="300" w:lineRule="atLeast"/>
              <w:ind w:left="567"/>
              <w:contextualSpacing/>
              <w:rPr>
                <w:rFonts w:cstheme="minorHAnsi"/>
                <w:sz w:val="20"/>
                <w:szCs w:val="20"/>
              </w:rPr>
            </w:pPr>
            <w:r w:rsidRPr="00220D9B">
              <w:rPr>
                <w:rFonts w:cstheme="minorHAnsi"/>
                <w:sz w:val="20"/>
                <w:szCs w:val="20"/>
              </w:rPr>
              <w:t>The location and types of sport and recreation facilities and services offered, therefore need to adapt in the future, so they are not mismatched with community needs.</w:t>
            </w:r>
          </w:p>
        </w:tc>
        <w:tc>
          <w:tcPr>
            <w:tcW w:w="4853" w:type="dxa"/>
            <w:tcBorders>
              <w:top w:val="nil"/>
              <w:bottom w:val="single" w:sz="4" w:space="0" w:color="auto"/>
            </w:tcBorders>
            <w:shd w:val="clear" w:color="auto" w:fill="FFF2CC" w:themeFill="accent4" w:themeFillTint="33"/>
          </w:tcPr>
          <w:p w14:paraId="7267A93F" w14:textId="77777777" w:rsidR="00220D9B" w:rsidRPr="00220D9B" w:rsidRDefault="00220D9B" w:rsidP="00220D9B">
            <w:pPr>
              <w:numPr>
                <w:ilvl w:val="0"/>
                <w:numId w:val="5"/>
              </w:numPr>
              <w:spacing w:before="120"/>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Maintaining Assets, Facility Sustainability and Service Levels:</w:t>
            </w:r>
          </w:p>
          <w:p w14:paraId="196D73C4" w14:textId="70AC0715" w:rsidR="00220D9B" w:rsidRPr="00220D9B" w:rsidRDefault="00220D9B" w:rsidP="00220D9B">
            <w:pPr>
              <w:spacing w:before="120" w:after="120" w:line="300" w:lineRule="atLeast"/>
              <w:ind w:left="567"/>
              <w:jc w:val="both"/>
              <w:rPr>
                <w:rFonts w:cstheme="minorHAnsi"/>
                <w:sz w:val="20"/>
                <w:szCs w:val="20"/>
              </w:rPr>
            </w:pPr>
            <w:r w:rsidRPr="00A73600">
              <w:rPr>
                <w:rFonts w:cstheme="minorHAnsi"/>
                <w:sz w:val="20"/>
                <w:szCs w:val="20"/>
              </w:rPr>
              <w:t>Maintaining aging assets, current service levels and facility sustainability are likely to become increasingly difficult in some locations. In certain instances, complying with building code requirements, meeting earthquake standards and avoiding functional obsolescence will also be very real challenges. Duplication and underutilisation of sport and recreational facilities will become increasingly unaffordable over time. This will necessitate some hard decisions regarding rationalisation, repurposing, amalgamating and developing new assets.</w:t>
            </w:r>
            <w:r w:rsidRPr="00A73600">
              <w:rPr>
                <w:rFonts w:ascii="Arial Rounded MT Bold" w:hAnsi="Arial Rounded MT Bold"/>
                <w:noProof/>
                <w:sz w:val="28"/>
                <w:szCs w:val="28"/>
              </w:rPr>
              <w:t xml:space="preserve"> </w:t>
            </w:r>
          </w:p>
        </w:tc>
        <w:tc>
          <w:tcPr>
            <w:tcW w:w="4854" w:type="dxa"/>
            <w:tcBorders>
              <w:top w:val="nil"/>
              <w:bottom w:val="single" w:sz="4" w:space="0" w:color="auto"/>
              <w:right w:val="nil"/>
            </w:tcBorders>
          </w:tcPr>
          <w:p w14:paraId="4855A938" w14:textId="77777777" w:rsidR="00220D9B" w:rsidRPr="00220D9B" w:rsidRDefault="00220D9B" w:rsidP="00220D9B">
            <w:pPr>
              <w:numPr>
                <w:ilvl w:val="0"/>
                <w:numId w:val="5"/>
              </w:numPr>
              <w:spacing w:before="120"/>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Changing Sport Participation Preferences:</w:t>
            </w:r>
          </w:p>
          <w:p w14:paraId="1949B192" w14:textId="77777777" w:rsidR="00220D9B" w:rsidRPr="00A73600" w:rsidRDefault="00220D9B" w:rsidP="00220D9B">
            <w:pPr>
              <w:spacing w:before="120" w:after="120" w:line="300" w:lineRule="atLeast"/>
              <w:ind w:left="567"/>
              <w:contextualSpacing/>
              <w:jc w:val="both"/>
              <w:rPr>
                <w:rFonts w:cstheme="minorHAnsi"/>
                <w:sz w:val="20"/>
                <w:szCs w:val="20"/>
              </w:rPr>
            </w:pPr>
            <w:r w:rsidRPr="00A73600">
              <w:rPr>
                <w:rFonts w:cstheme="minorHAnsi"/>
                <w:sz w:val="20"/>
                <w:szCs w:val="20"/>
              </w:rPr>
              <w:t>Sport participation preferences are constantly changing (as illustrated by the rise of ‘pay-for-play’ sport and changing code preferences). Participation in organised sport is declining with an increasing trend towards informal, individual physical activity. As community needs change our facility network will need to adapt to change and be more flexible.</w:t>
            </w:r>
          </w:p>
          <w:p w14:paraId="16FEE3B9" w14:textId="77777777" w:rsidR="00220D9B" w:rsidRDefault="00220D9B" w:rsidP="00220D9B">
            <w:pPr>
              <w:spacing w:before="120" w:after="120" w:line="300" w:lineRule="atLeast"/>
              <w:rPr>
                <w:rFonts w:cstheme="minorHAnsi"/>
                <w:iCs/>
                <w:color w:val="2F5496" w:themeColor="accent1" w:themeShade="BF"/>
                <w:sz w:val="20"/>
                <w:szCs w:val="20"/>
              </w:rPr>
            </w:pPr>
          </w:p>
        </w:tc>
      </w:tr>
      <w:tr w:rsidR="00220D9B" w14:paraId="56F2488D" w14:textId="77777777" w:rsidTr="00730D15">
        <w:tc>
          <w:tcPr>
            <w:tcW w:w="4853" w:type="dxa"/>
            <w:tcBorders>
              <w:left w:val="nil"/>
              <w:bottom w:val="nil"/>
            </w:tcBorders>
            <w:shd w:val="clear" w:color="auto" w:fill="FFF2CC" w:themeFill="accent4" w:themeFillTint="33"/>
          </w:tcPr>
          <w:p w14:paraId="3E047D42" w14:textId="77777777" w:rsidR="00220D9B" w:rsidRPr="00220D9B" w:rsidRDefault="00220D9B" w:rsidP="00220D9B">
            <w:pPr>
              <w:numPr>
                <w:ilvl w:val="0"/>
                <w:numId w:val="5"/>
              </w:numPr>
              <w:spacing w:before="120"/>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Improving Collaborative Approaches:</w:t>
            </w:r>
          </w:p>
          <w:p w14:paraId="125059D8" w14:textId="3C351DB2" w:rsidR="00220D9B" w:rsidRPr="00220D9B" w:rsidRDefault="00220D9B" w:rsidP="00220D9B">
            <w:pPr>
              <w:spacing w:before="120" w:after="120" w:line="300" w:lineRule="atLeast"/>
              <w:ind w:left="567"/>
              <w:contextualSpacing/>
              <w:jc w:val="both"/>
              <w:rPr>
                <w:rFonts w:cstheme="minorHAnsi"/>
                <w:sz w:val="20"/>
                <w:szCs w:val="20"/>
              </w:rPr>
            </w:pPr>
            <w:r w:rsidRPr="00A73600">
              <w:rPr>
                <w:rFonts w:cstheme="minorHAnsi"/>
                <w:sz w:val="20"/>
                <w:szCs w:val="20"/>
              </w:rPr>
              <w:t>Historical decision making in respect of new or replacement facilities has often been undertaken on an ad-hoc basis. As demands on capital funding budgets grow, it will become increasingly important for all stakeholders to work collaboratively in order to improve delivery and sustainability of sport and recreational facilities. The introduction of the facility investment decision making process, and a regional funding</w:t>
            </w:r>
            <w:r>
              <w:rPr>
                <w:rFonts w:cstheme="minorHAnsi"/>
                <w:sz w:val="20"/>
                <w:szCs w:val="20"/>
              </w:rPr>
              <w:t xml:space="preserve"> </w:t>
            </w:r>
            <w:r w:rsidRPr="00A73600">
              <w:rPr>
                <w:rFonts w:cstheme="minorHAnsi"/>
                <w:sz w:val="20"/>
                <w:szCs w:val="20"/>
              </w:rPr>
              <w:t>approach will greatly assist collaboration.</w:t>
            </w:r>
          </w:p>
        </w:tc>
        <w:tc>
          <w:tcPr>
            <w:tcW w:w="4853" w:type="dxa"/>
            <w:tcBorders>
              <w:bottom w:val="nil"/>
            </w:tcBorders>
          </w:tcPr>
          <w:p w14:paraId="784DBDFA" w14:textId="77777777" w:rsidR="00220D9B" w:rsidRPr="00220D9B" w:rsidRDefault="00220D9B" w:rsidP="00220D9B">
            <w:pPr>
              <w:numPr>
                <w:ilvl w:val="0"/>
                <w:numId w:val="5"/>
              </w:numPr>
              <w:spacing w:before="120"/>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Network Resilience</w:t>
            </w:r>
          </w:p>
          <w:p w14:paraId="597E05A6" w14:textId="77777777" w:rsidR="00220D9B" w:rsidRPr="00A73600" w:rsidRDefault="00220D9B" w:rsidP="00220D9B">
            <w:pPr>
              <w:spacing w:before="120" w:after="120" w:line="300" w:lineRule="atLeast"/>
              <w:ind w:left="567"/>
              <w:contextualSpacing/>
              <w:jc w:val="both"/>
              <w:rPr>
                <w:rFonts w:cstheme="minorHAnsi"/>
                <w:sz w:val="20"/>
                <w:szCs w:val="20"/>
              </w:rPr>
            </w:pPr>
            <w:r w:rsidRPr="00A73600">
              <w:rPr>
                <w:rFonts w:cstheme="minorHAnsi"/>
                <w:sz w:val="20"/>
                <w:szCs w:val="20"/>
              </w:rPr>
              <w:t>The opportunity exists to improve the networks resilience so that we are well placed to cope with the unexpected. This can be done by rationalising or improving existing assets or developing appropriate new facilities.</w:t>
            </w:r>
          </w:p>
          <w:p w14:paraId="2F93672C" w14:textId="77777777" w:rsidR="00220D9B" w:rsidRDefault="00220D9B" w:rsidP="00220D9B">
            <w:pPr>
              <w:spacing w:before="120" w:after="120" w:line="300" w:lineRule="atLeast"/>
              <w:rPr>
                <w:rFonts w:cstheme="minorHAnsi"/>
                <w:iCs/>
                <w:color w:val="2F5496" w:themeColor="accent1" w:themeShade="BF"/>
                <w:sz w:val="20"/>
                <w:szCs w:val="20"/>
              </w:rPr>
            </w:pPr>
          </w:p>
        </w:tc>
        <w:tc>
          <w:tcPr>
            <w:tcW w:w="4854" w:type="dxa"/>
            <w:tcBorders>
              <w:bottom w:val="nil"/>
              <w:right w:val="nil"/>
            </w:tcBorders>
            <w:shd w:val="clear" w:color="auto" w:fill="FFF2CC" w:themeFill="accent4" w:themeFillTint="33"/>
          </w:tcPr>
          <w:p w14:paraId="5BB1A31E" w14:textId="77777777" w:rsidR="00220D9B" w:rsidRPr="00220D9B" w:rsidRDefault="00220D9B" w:rsidP="00220D9B">
            <w:pPr>
              <w:pStyle w:val="ListParagraph"/>
              <w:numPr>
                <w:ilvl w:val="0"/>
                <w:numId w:val="5"/>
              </w:numPr>
              <w:spacing w:before="120" w:after="120" w:line="300" w:lineRule="atLeast"/>
              <w:ind w:left="567" w:hanging="425"/>
              <w:rPr>
                <w:rFonts w:cstheme="minorHAnsi"/>
                <w:b/>
                <w:bCs/>
                <w:i/>
                <w:color w:val="2F5496" w:themeColor="accent1" w:themeShade="BF"/>
                <w:sz w:val="20"/>
                <w:szCs w:val="20"/>
              </w:rPr>
            </w:pPr>
            <w:r w:rsidRPr="00220D9B">
              <w:rPr>
                <w:rFonts w:cstheme="minorHAnsi"/>
                <w:b/>
                <w:bCs/>
                <w:i/>
                <w:color w:val="2F5496" w:themeColor="accent1" w:themeShade="BF"/>
                <w:sz w:val="20"/>
                <w:szCs w:val="20"/>
              </w:rPr>
              <w:t>Supporting a Regional Investment Approach</w:t>
            </w:r>
          </w:p>
          <w:p w14:paraId="48CBAC49" w14:textId="77777777" w:rsidR="00220D9B" w:rsidRPr="00A73600" w:rsidRDefault="00220D9B" w:rsidP="00220D9B">
            <w:pPr>
              <w:spacing w:before="120" w:after="120" w:line="300" w:lineRule="atLeast"/>
              <w:ind w:left="567"/>
              <w:contextualSpacing/>
              <w:jc w:val="both"/>
              <w:rPr>
                <w:rFonts w:cstheme="minorHAnsi"/>
                <w:sz w:val="20"/>
                <w:szCs w:val="20"/>
              </w:rPr>
            </w:pPr>
            <w:r w:rsidRPr="00A73600">
              <w:rPr>
                <w:rFonts w:cstheme="minorHAnsi"/>
                <w:sz w:val="20"/>
                <w:szCs w:val="20"/>
              </w:rPr>
              <w:t>Taking a regional approach to planning for sporting facilities is gaining momentum, however, the challenge remains as to how these facilities can be funded regionally. An opportunity exists for the region’s territorial authorities to explore a collaborative investment framework for higher-level facilities.</w:t>
            </w:r>
          </w:p>
          <w:p w14:paraId="44E9C333" w14:textId="77777777" w:rsidR="00220D9B" w:rsidRDefault="00220D9B" w:rsidP="00220D9B">
            <w:pPr>
              <w:spacing w:before="120" w:after="120" w:line="300" w:lineRule="atLeast"/>
              <w:rPr>
                <w:rFonts w:cstheme="minorHAnsi"/>
                <w:iCs/>
                <w:color w:val="2F5496" w:themeColor="accent1" w:themeShade="BF"/>
                <w:sz w:val="20"/>
                <w:szCs w:val="20"/>
              </w:rPr>
            </w:pPr>
          </w:p>
        </w:tc>
      </w:tr>
    </w:tbl>
    <w:p w14:paraId="74901D3E" w14:textId="09719822" w:rsidR="00220D9B" w:rsidRPr="005F0C05" w:rsidRDefault="00220D9B"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lastRenderedPageBreak/>
        <w:t>STRATEGY</w:t>
      </w:r>
    </w:p>
    <w:p w14:paraId="4A029BFC" w14:textId="77777777" w:rsidR="0098661B" w:rsidRPr="0025498B" w:rsidRDefault="0098661B" w:rsidP="00D12AE6">
      <w:pPr>
        <w:spacing w:before="120" w:after="120" w:line="300" w:lineRule="atLeast"/>
        <w:rPr>
          <w:rFonts w:cstheme="minorHAnsi"/>
          <w:b/>
          <w:bCs/>
        </w:rPr>
      </w:pPr>
      <w:r w:rsidRPr="0025498B">
        <w:rPr>
          <w:rFonts w:cstheme="minorHAnsi"/>
          <w:b/>
          <w:bCs/>
        </w:rPr>
        <w:t>OUTCOME:</w:t>
      </w:r>
    </w:p>
    <w:p w14:paraId="655A4DA9" w14:textId="6D5F389C" w:rsidR="00305A79" w:rsidRPr="0025498B" w:rsidRDefault="0098661B" w:rsidP="00D12AE6">
      <w:pPr>
        <w:spacing w:before="120" w:after="120" w:line="300" w:lineRule="atLeast"/>
        <w:rPr>
          <w:rFonts w:cstheme="minorHAnsi"/>
          <w:sz w:val="20"/>
          <w:szCs w:val="20"/>
        </w:rPr>
      </w:pPr>
      <w:r w:rsidRPr="0025498B">
        <w:rPr>
          <w:rFonts w:cstheme="minorHAnsi"/>
          <w:sz w:val="20"/>
          <w:szCs w:val="20"/>
        </w:rPr>
        <w:t>The outcome we are looking for is a one-region approach to providing an accessible, fit-for-purpose</w:t>
      </w:r>
      <w:r w:rsidR="0025498B" w:rsidRPr="0025498B">
        <w:rPr>
          <w:rFonts w:cstheme="minorHAnsi"/>
          <w:sz w:val="20"/>
          <w:szCs w:val="20"/>
        </w:rPr>
        <w:t xml:space="preserve"> regional network of quality spaces and places that support and encourage physical activity (play, active recreation, sport).</w:t>
      </w:r>
    </w:p>
    <w:p w14:paraId="790BA8FC" w14:textId="17EEAFEB" w:rsidR="0025498B" w:rsidRDefault="0025498B" w:rsidP="00D12AE6">
      <w:pPr>
        <w:spacing w:before="120" w:after="120" w:line="300" w:lineRule="atLeast"/>
        <w:rPr>
          <w:rFonts w:cstheme="minorHAnsi"/>
          <w:b/>
          <w:bCs/>
        </w:rPr>
      </w:pPr>
      <w:r w:rsidRPr="0025498B">
        <w:rPr>
          <w:rFonts w:cstheme="minorHAnsi"/>
          <w:b/>
          <w:bCs/>
        </w:rPr>
        <w:t>OBJECTIVES and ACTIONS:</w:t>
      </w:r>
    </w:p>
    <w:p w14:paraId="3ADF9B4B" w14:textId="0FED2498" w:rsidR="0025498B" w:rsidRPr="0025498B" w:rsidRDefault="0025498B" w:rsidP="00D12AE6">
      <w:pPr>
        <w:spacing w:before="120" w:after="120" w:line="300" w:lineRule="atLeast"/>
        <w:rPr>
          <w:rFonts w:cstheme="minorHAnsi"/>
          <w:sz w:val="20"/>
          <w:szCs w:val="20"/>
        </w:rPr>
      </w:pPr>
      <w:r w:rsidRPr="0025498B">
        <w:rPr>
          <w:rFonts w:cstheme="minorHAnsi"/>
          <w:sz w:val="20"/>
          <w:szCs w:val="20"/>
        </w:rPr>
        <w:t>For higher-level facilities</w:t>
      </w:r>
      <w:r w:rsidR="00CC26B9">
        <w:rPr>
          <w:rFonts w:cstheme="minorHAnsi"/>
          <w:sz w:val="20"/>
          <w:szCs w:val="20"/>
        </w:rPr>
        <w:t xml:space="preserve"> (regional and above</w:t>
      </w:r>
      <w:r w:rsidR="00936642">
        <w:rPr>
          <w:rFonts w:cstheme="minorHAnsi"/>
          <w:sz w:val="20"/>
          <w:szCs w:val="20"/>
        </w:rPr>
        <w:t xml:space="preserve"> on the facility hierarchy)</w:t>
      </w:r>
    </w:p>
    <w:tbl>
      <w:tblPr>
        <w:tblStyle w:val="ListTable3-Accent5"/>
        <w:tblW w:w="0" w:type="auto"/>
        <w:tblLook w:val="04A0" w:firstRow="1" w:lastRow="0" w:firstColumn="1" w:lastColumn="0" w:noHBand="0" w:noVBand="1"/>
      </w:tblPr>
      <w:tblGrid>
        <w:gridCol w:w="2405"/>
        <w:gridCol w:w="12155"/>
      </w:tblGrid>
      <w:tr w:rsidR="0025498B" w:rsidRPr="0025498B" w14:paraId="6112DE48" w14:textId="77777777" w:rsidTr="002549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066506B1" w14:textId="42AB0192" w:rsidR="0025498B" w:rsidRPr="0025498B" w:rsidRDefault="0025498B" w:rsidP="0025498B">
            <w:pPr>
              <w:spacing w:before="120" w:line="300" w:lineRule="atLeast"/>
              <w:rPr>
                <w:rFonts w:cstheme="minorHAnsi"/>
              </w:rPr>
            </w:pPr>
            <w:r w:rsidRPr="0025498B">
              <w:rPr>
                <w:rFonts w:cstheme="minorHAnsi"/>
              </w:rPr>
              <w:t>OBJECTIVE</w:t>
            </w:r>
          </w:p>
        </w:tc>
        <w:tc>
          <w:tcPr>
            <w:tcW w:w="12155" w:type="dxa"/>
          </w:tcPr>
          <w:p w14:paraId="6CBE7171" w14:textId="4D98190B" w:rsidR="0025498B" w:rsidRPr="0025498B" w:rsidRDefault="00730D15" w:rsidP="0025498B">
            <w:pPr>
              <w:spacing w:before="120" w:line="300" w:lineRule="atLeas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PROGRAMMES OF WORK</w:t>
            </w:r>
          </w:p>
        </w:tc>
      </w:tr>
      <w:tr w:rsidR="0025498B" w14:paraId="4D3B09A7" w14:textId="77777777" w:rsidTr="0025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BE64F18" w14:textId="038FEBBA" w:rsidR="0025498B" w:rsidRPr="0025498B" w:rsidRDefault="0025498B" w:rsidP="0025498B">
            <w:pPr>
              <w:spacing w:before="120" w:line="300" w:lineRule="atLeast"/>
              <w:rPr>
                <w:rFonts w:cstheme="minorHAnsi"/>
                <w:sz w:val="20"/>
                <w:szCs w:val="20"/>
              </w:rPr>
            </w:pPr>
            <w:r w:rsidRPr="0025498B">
              <w:rPr>
                <w:rFonts w:cstheme="minorHAnsi"/>
                <w:sz w:val="20"/>
                <w:szCs w:val="20"/>
              </w:rPr>
              <w:t>Cross-boundary collaboration, planning and investment for regional, national, and international level facilities</w:t>
            </w:r>
          </w:p>
        </w:tc>
        <w:tc>
          <w:tcPr>
            <w:tcW w:w="12155" w:type="dxa"/>
          </w:tcPr>
          <w:p w14:paraId="3D750484" w14:textId="1715DBD9" w:rsidR="0025498B" w:rsidRPr="0025498B" w:rsidRDefault="0025498B" w:rsidP="0025498B">
            <w:pPr>
              <w:spacing w:before="120" w:line="300"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498B">
              <w:rPr>
                <w:rFonts w:cstheme="minorHAnsi"/>
                <w:sz w:val="20"/>
                <w:szCs w:val="20"/>
              </w:rPr>
              <w:t>Create a mechanism that allows the region to collectively approach planning for higher-level facilities including high performance centres and meeting the sporting franchise needs for stadia beyond current provision.</w:t>
            </w:r>
          </w:p>
        </w:tc>
      </w:tr>
      <w:tr w:rsidR="0025498B" w14:paraId="65617FCA" w14:textId="77777777" w:rsidTr="0025498B">
        <w:tc>
          <w:tcPr>
            <w:cnfStyle w:val="001000000000" w:firstRow="0" w:lastRow="0" w:firstColumn="1" w:lastColumn="0" w:oddVBand="0" w:evenVBand="0" w:oddHBand="0" w:evenHBand="0" w:firstRowFirstColumn="0" w:firstRowLastColumn="0" w:lastRowFirstColumn="0" w:lastRowLastColumn="0"/>
            <w:tcW w:w="2405" w:type="dxa"/>
            <w:vMerge/>
          </w:tcPr>
          <w:p w14:paraId="6CEE335E" w14:textId="77777777" w:rsidR="0025498B" w:rsidRPr="0025498B" w:rsidRDefault="0025498B" w:rsidP="0025498B">
            <w:pPr>
              <w:spacing w:before="120" w:line="300" w:lineRule="atLeast"/>
              <w:rPr>
                <w:rFonts w:cstheme="minorHAnsi"/>
                <w:b w:val="0"/>
                <w:bCs w:val="0"/>
                <w:sz w:val="20"/>
                <w:szCs w:val="20"/>
              </w:rPr>
            </w:pPr>
          </w:p>
        </w:tc>
        <w:tc>
          <w:tcPr>
            <w:tcW w:w="12155" w:type="dxa"/>
          </w:tcPr>
          <w:p w14:paraId="093585FA" w14:textId="0058D77F" w:rsidR="0025498B" w:rsidRPr="0025498B" w:rsidRDefault="0025498B" w:rsidP="0025498B">
            <w:pPr>
              <w:spacing w:before="120" w:line="30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498B">
              <w:rPr>
                <w:rFonts w:cstheme="minorHAnsi"/>
                <w:sz w:val="20"/>
                <w:szCs w:val="20"/>
              </w:rPr>
              <w:t>Develop an appropriate regional facility investment decision-making model to ensure that higher-status facility developments are robustly assessed</w:t>
            </w:r>
          </w:p>
        </w:tc>
      </w:tr>
      <w:tr w:rsidR="0025498B" w14:paraId="6EEED03F" w14:textId="77777777" w:rsidTr="0025498B">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05" w:type="dxa"/>
            <w:vMerge/>
          </w:tcPr>
          <w:p w14:paraId="68705C85" w14:textId="77777777" w:rsidR="0025498B" w:rsidRPr="0025498B" w:rsidRDefault="0025498B" w:rsidP="0025498B">
            <w:pPr>
              <w:spacing w:before="120" w:line="300" w:lineRule="atLeast"/>
              <w:rPr>
                <w:rFonts w:cstheme="minorHAnsi"/>
                <w:b w:val="0"/>
                <w:bCs w:val="0"/>
                <w:sz w:val="20"/>
                <w:szCs w:val="20"/>
              </w:rPr>
            </w:pPr>
          </w:p>
        </w:tc>
        <w:tc>
          <w:tcPr>
            <w:tcW w:w="12155" w:type="dxa"/>
          </w:tcPr>
          <w:p w14:paraId="399A48FC" w14:textId="32CBA24D" w:rsidR="0025498B" w:rsidRPr="0025498B" w:rsidRDefault="0025498B" w:rsidP="0025498B">
            <w:pPr>
              <w:spacing w:before="120" w:line="300"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498B">
              <w:rPr>
                <w:rFonts w:cstheme="minorHAnsi"/>
                <w:sz w:val="20"/>
                <w:szCs w:val="20"/>
              </w:rPr>
              <w:t>Develop a regional facility funding model that considers a range of funding options for regional facilities including regional rate setting amongst others.</w:t>
            </w:r>
          </w:p>
        </w:tc>
      </w:tr>
    </w:tbl>
    <w:p w14:paraId="09A1609E" w14:textId="734E0976" w:rsidR="0025498B" w:rsidRPr="0025498B" w:rsidRDefault="0025498B" w:rsidP="00D12AE6">
      <w:pPr>
        <w:spacing w:before="120" w:after="120" w:line="300" w:lineRule="atLeast"/>
        <w:rPr>
          <w:rFonts w:cstheme="minorHAnsi"/>
          <w:sz w:val="20"/>
          <w:szCs w:val="20"/>
        </w:rPr>
      </w:pPr>
      <w:r w:rsidRPr="0025498B">
        <w:rPr>
          <w:rFonts w:cstheme="minorHAnsi"/>
          <w:sz w:val="20"/>
          <w:szCs w:val="20"/>
        </w:rPr>
        <w:t xml:space="preserve">For the regional network </w:t>
      </w:r>
    </w:p>
    <w:tbl>
      <w:tblPr>
        <w:tblStyle w:val="ListTable3-Accent6"/>
        <w:tblW w:w="0" w:type="auto"/>
        <w:tblLook w:val="04A0" w:firstRow="1" w:lastRow="0" w:firstColumn="1" w:lastColumn="0" w:noHBand="0" w:noVBand="1"/>
      </w:tblPr>
      <w:tblGrid>
        <w:gridCol w:w="2405"/>
        <w:gridCol w:w="12155"/>
      </w:tblGrid>
      <w:tr w:rsidR="0025498B" w:rsidRPr="0025498B" w14:paraId="702D907A" w14:textId="77777777" w:rsidTr="002549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5CCEC2AB" w14:textId="77777777" w:rsidR="0025498B" w:rsidRPr="0025498B" w:rsidRDefault="0025498B" w:rsidP="009E2875">
            <w:pPr>
              <w:spacing w:before="120" w:after="120" w:line="300" w:lineRule="atLeast"/>
              <w:rPr>
                <w:rFonts w:cstheme="minorHAnsi"/>
              </w:rPr>
            </w:pPr>
            <w:r w:rsidRPr="0025498B">
              <w:rPr>
                <w:rFonts w:cstheme="minorHAnsi"/>
              </w:rPr>
              <w:t>OBJECTIVE</w:t>
            </w:r>
          </w:p>
        </w:tc>
        <w:tc>
          <w:tcPr>
            <w:tcW w:w="12155" w:type="dxa"/>
          </w:tcPr>
          <w:p w14:paraId="030EF730" w14:textId="1F1C0901" w:rsidR="0025498B" w:rsidRPr="0025498B" w:rsidRDefault="00730D15" w:rsidP="009E2875">
            <w:pPr>
              <w:spacing w:before="120" w:after="120" w:line="300" w:lineRule="atLeast"/>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PROGRAMMES OF WORK</w:t>
            </w:r>
          </w:p>
        </w:tc>
      </w:tr>
      <w:tr w:rsidR="0025498B" w14:paraId="4DEAF991" w14:textId="77777777" w:rsidTr="0025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F0C8053" w14:textId="366EDF73" w:rsidR="0025498B" w:rsidRPr="0025498B" w:rsidRDefault="0025498B" w:rsidP="009E2875">
            <w:pPr>
              <w:spacing w:before="120" w:after="120" w:line="300" w:lineRule="atLeast"/>
              <w:rPr>
                <w:rFonts w:cstheme="minorHAnsi"/>
                <w:sz w:val="20"/>
                <w:szCs w:val="20"/>
              </w:rPr>
            </w:pPr>
            <w:r w:rsidRPr="0025498B">
              <w:rPr>
                <w:rFonts w:cstheme="minorHAnsi"/>
                <w:sz w:val="20"/>
                <w:szCs w:val="20"/>
              </w:rPr>
              <w:t>Optimise and future-proof the current network of facilities</w:t>
            </w:r>
          </w:p>
        </w:tc>
        <w:tc>
          <w:tcPr>
            <w:tcW w:w="12155" w:type="dxa"/>
          </w:tcPr>
          <w:p w14:paraId="3DA3BF34" w14:textId="25889AB8" w:rsidR="0025498B" w:rsidRPr="0025498B" w:rsidRDefault="0025498B" w:rsidP="009E2875">
            <w:pPr>
              <w:spacing w:before="120" w:after="120" w:line="300"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498B">
              <w:rPr>
                <w:rFonts w:cstheme="minorHAnsi"/>
                <w:sz w:val="20"/>
                <w:szCs w:val="20"/>
              </w:rPr>
              <w:t>Investigate partnering opportunities, with schools and private providers.</w:t>
            </w:r>
          </w:p>
        </w:tc>
      </w:tr>
      <w:tr w:rsidR="0025498B" w14:paraId="2D9843EE" w14:textId="77777777" w:rsidTr="0025498B">
        <w:tc>
          <w:tcPr>
            <w:cnfStyle w:val="001000000000" w:firstRow="0" w:lastRow="0" w:firstColumn="1" w:lastColumn="0" w:oddVBand="0" w:evenVBand="0" w:oddHBand="0" w:evenHBand="0" w:firstRowFirstColumn="0" w:firstRowLastColumn="0" w:lastRowFirstColumn="0" w:lastRowLastColumn="0"/>
            <w:tcW w:w="2405" w:type="dxa"/>
            <w:vMerge/>
          </w:tcPr>
          <w:p w14:paraId="4A751B0C" w14:textId="77777777" w:rsidR="0025498B" w:rsidRDefault="0025498B" w:rsidP="009E2875">
            <w:pPr>
              <w:spacing w:before="120" w:after="120" w:line="300" w:lineRule="atLeast"/>
              <w:rPr>
                <w:rFonts w:cstheme="minorHAnsi"/>
                <w:b w:val="0"/>
                <w:bCs w:val="0"/>
              </w:rPr>
            </w:pPr>
          </w:p>
        </w:tc>
        <w:tc>
          <w:tcPr>
            <w:tcW w:w="12155" w:type="dxa"/>
          </w:tcPr>
          <w:p w14:paraId="099B805E" w14:textId="39652673" w:rsidR="0025498B" w:rsidRPr="0025498B" w:rsidRDefault="0025498B" w:rsidP="009E2875">
            <w:pPr>
              <w:spacing w:before="120" w:after="120" w:line="30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498B">
              <w:rPr>
                <w:rFonts w:cstheme="minorHAnsi"/>
                <w:sz w:val="20"/>
                <w:szCs w:val="20"/>
              </w:rPr>
              <w:t>Consistently apply the core facility planning and provision principles to facility decisions.</w:t>
            </w:r>
          </w:p>
        </w:tc>
      </w:tr>
      <w:tr w:rsidR="0025498B" w14:paraId="67E3DC50" w14:textId="77777777" w:rsidTr="00254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14:paraId="4572DAA0" w14:textId="77777777" w:rsidR="0025498B" w:rsidRDefault="0025498B" w:rsidP="009E2875">
            <w:pPr>
              <w:spacing w:before="120" w:after="120" w:line="300" w:lineRule="atLeast"/>
              <w:rPr>
                <w:rFonts w:cstheme="minorHAnsi"/>
                <w:b w:val="0"/>
                <w:bCs w:val="0"/>
              </w:rPr>
            </w:pPr>
          </w:p>
        </w:tc>
        <w:tc>
          <w:tcPr>
            <w:tcW w:w="12155" w:type="dxa"/>
          </w:tcPr>
          <w:p w14:paraId="623A0BCF" w14:textId="2600FB1B" w:rsidR="0025498B" w:rsidRPr="0025498B" w:rsidRDefault="0025498B" w:rsidP="009E2875">
            <w:pPr>
              <w:spacing w:before="120" w:after="120" w:line="300"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5498B">
              <w:rPr>
                <w:rFonts w:cstheme="minorHAnsi"/>
                <w:sz w:val="20"/>
                <w:szCs w:val="20"/>
              </w:rPr>
              <w:t>Rationalise and/or re-purpose existing under-utilised and unsustainable facilities.</w:t>
            </w:r>
          </w:p>
        </w:tc>
      </w:tr>
      <w:tr w:rsidR="0025498B" w14:paraId="117B2D23" w14:textId="77777777" w:rsidTr="0025498B">
        <w:tc>
          <w:tcPr>
            <w:cnfStyle w:val="001000000000" w:firstRow="0" w:lastRow="0" w:firstColumn="1" w:lastColumn="0" w:oddVBand="0" w:evenVBand="0" w:oddHBand="0" w:evenHBand="0" w:firstRowFirstColumn="0" w:firstRowLastColumn="0" w:lastRowFirstColumn="0" w:lastRowLastColumn="0"/>
            <w:tcW w:w="2405" w:type="dxa"/>
            <w:vMerge/>
          </w:tcPr>
          <w:p w14:paraId="2B87DA48" w14:textId="77777777" w:rsidR="0025498B" w:rsidRDefault="0025498B" w:rsidP="009E2875">
            <w:pPr>
              <w:spacing w:before="120" w:after="120" w:line="300" w:lineRule="atLeast"/>
              <w:rPr>
                <w:rFonts w:cstheme="minorHAnsi"/>
                <w:b w:val="0"/>
                <w:bCs w:val="0"/>
              </w:rPr>
            </w:pPr>
          </w:p>
        </w:tc>
        <w:tc>
          <w:tcPr>
            <w:tcW w:w="12155" w:type="dxa"/>
          </w:tcPr>
          <w:p w14:paraId="15CDC13E" w14:textId="0B2D6BD6" w:rsidR="0025498B" w:rsidRPr="0025498B" w:rsidRDefault="0025498B" w:rsidP="009E2875">
            <w:pPr>
              <w:spacing w:before="120" w:after="120" w:line="300"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5498B">
              <w:rPr>
                <w:rFonts w:cstheme="minorHAnsi"/>
                <w:sz w:val="20"/>
                <w:szCs w:val="20"/>
              </w:rPr>
              <w:t>Address the resilience challenges of our network through a programme of upgrades and/or renewals where a proven need exists, and a cost-benefit analysis indicates this is warranted.</w:t>
            </w:r>
          </w:p>
        </w:tc>
      </w:tr>
    </w:tbl>
    <w:p w14:paraId="33A5A0D2" w14:textId="0A090494" w:rsidR="0025498B" w:rsidRPr="005F0C05" w:rsidRDefault="0025498B"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lastRenderedPageBreak/>
        <w:t xml:space="preserve">SHORT-TERM </w:t>
      </w:r>
      <w:r w:rsidR="00730D15">
        <w:rPr>
          <w:rFonts w:ascii="Arial Rounded MT Bold" w:hAnsi="Arial Rounded MT Bold"/>
          <w:color w:val="2E74B5" w:themeColor="accent5" w:themeShade="BF"/>
          <w:sz w:val="44"/>
          <w:szCs w:val="44"/>
        </w:rPr>
        <w:t xml:space="preserve">PROJECT </w:t>
      </w:r>
      <w:r>
        <w:rPr>
          <w:rFonts w:ascii="Arial Rounded MT Bold" w:hAnsi="Arial Rounded MT Bold"/>
          <w:color w:val="2E74B5" w:themeColor="accent5" w:themeShade="BF"/>
          <w:sz w:val="44"/>
          <w:szCs w:val="44"/>
        </w:rPr>
        <w:t>OPPORTUNITIES</w:t>
      </w:r>
    </w:p>
    <w:p w14:paraId="31BB017B" w14:textId="59EFBFD0" w:rsidR="00730D15" w:rsidRDefault="00730D15" w:rsidP="0025498B">
      <w:pPr>
        <w:spacing w:before="120" w:after="120" w:line="300" w:lineRule="atLeast"/>
        <w:rPr>
          <w:rFonts w:cstheme="minorHAnsi"/>
          <w:sz w:val="20"/>
          <w:szCs w:val="20"/>
        </w:rPr>
      </w:pPr>
      <w:r>
        <w:rPr>
          <w:rFonts w:cstheme="minorHAnsi"/>
          <w:sz w:val="20"/>
          <w:szCs w:val="20"/>
        </w:rPr>
        <w:t xml:space="preserve">While there are no </w:t>
      </w:r>
      <w:r w:rsidR="006301A8">
        <w:rPr>
          <w:rFonts w:cstheme="minorHAnsi"/>
          <w:sz w:val="20"/>
          <w:szCs w:val="20"/>
        </w:rPr>
        <w:t xml:space="preserve">individual </w:t>
      </w:r>
      <w:r>
        <w:rPr>
          <w:rFonts w:cstheme="minorHAnsi"/>
          <w:sz w:val="20"/>
          <w:szCs w:val="20"/>
        </w:rPr>
        <w:t xml:space="preserve">facility projects arising from the work completed to date, some immediate project opportunities have been identified that will </w:t>
      </w:r>
      <w:r w:rsidR="006301A8">
        <w:rPr>
          <w:rFonts w:cstheme="minorHAnsi"/>
          <w:sz w:val="20"/>
          <w:szCs w:val="20"/>
        </w:rPr>
        <w:t xml:space="preserve">add to the current body of knowledge and </w:t>
      </w:r>
      <w:r>
        <w:rPr>
          <w:rFonts w:cstheme="minorHAnsi"/>
          <w:sz w:val="20"/>
          <w:szCs w:val="20"/>
        </w:rPr>
        <w:t>contribute to the programmes of work for both higher</w:t>
      </w:r>
      <w:r w:rsidR="006301A8">
        <w:rPr>
          <w:rFonts w:cstheme="minorHAnsi"/>
          <w:sz w:val="20"/>
          <w:szCs w:val="20"/>
        </w:rPr>
        <w:t>-</w:t>
      </w:r>
      <w:r>
        <w:rPr>
          <w:rFonts w:cstheme="minorHAnsi"/>
          <w:sz w:val="20"/>
          <w:szCs w:val="20"/>
        </w:rPr>
        <w:t xml:space="preserve">level facilities and the </w:t>
      </w:r>
      <w:r w:rsidR="006301A8">
        <w:rPr>
          <w:rFonts w:cstheme="minorHAnsi"/>
          <w:sz w:val="20"/>
          <w:szCs w:val="20"/>
        </w:rPr>
        <w:t>regional network.</w:t>
      </w:r>
    </w:p>
    <w:p w14:paraId="74175E45" w14:textId="59B11C4C" w:rsidR="0025498B" w:rsidRDefault="007D67EC" w:rsidP="0025498B">
      <w:pPr>
        <w:spacing w:before="120" w:after="120" w:line="300" w:lineRule="atLeast"/>
        <w:rPr>
          <w:rFonts w:cstheme="minorHAnsi"/>
          <w:b/>
          <w:bCs/>
        </w:rPr>
      </w:pPr>
      <w:r w:rsidRPr="00DC015E">
        <w:rPr>
          <w:rFonts w:cstheme="minorHAnsi"/>
          <w:noProof/>
          <w:sz w:val="20"/>
          <w:szCs w:val="20"/>
        </w:rPr>
        <mc:AlternateContent>
          <mc:Choice Requires="wps">
            <w:drawing>
              <wp:anchor distT="45720" distB="45720" distL="114300" distR="114300" simplePos="0" relativeHeight="251658260" behindDoc="0" locked="0" layoutInCell="1" allowOverlap="1" wp14:anchorId="6E45A233" wp14:editId="376E2299">
                <wp:simplePos x="0" y="0"/>
                <wp:positionH relativeFrom="column">
                  <wp:posOffset>6938010</wp:posOffset>
                </wp:positionH>
                <wp:positionV relativeFrom="paragraph">
                  <wp:posOffset>255905</wp:posOffset>
                </wp:positionV>
                <wp:extent cx="2313940" cy="1404620"/>
                <wp:effectExtent l="0" t="0" r="1016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404620"/>
                        </a:xfrm>
                        <a:prstGeom prst="rect">
                          <a:avLst/>
                        </a:prstGeom>
                        <a:solidFill>
                          <a:srgbClr val="FFFFFF"/>
                        </a:solidFill>
                        <a:ln w="9525">
                          <a:solidFill>
                            <a:srgbClr val="000000"/>
                          </a:solidFill>
                          <a:miter lim="800000"/>
                          <a:headEnd/>
                          <a:tailEnd/>
                        </a:ln>
                      </wps:spPr>
                      <wps:txbx>
                        <w:txbxContent>
                          <w:p w14:paraId="33B250C8"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4: </w:t>
                            </w:r>
                          </w:p>
                          <w:p w14:paraId="0B64FF87" w14:textId="5AD1D2FC" w:rsidR="00DC015E" w:rsidRPr="006301A8"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Regional Sportsfield Review</w:t>
                            </w:r>
                          </w:p>
                          <w:p w14:paraId="02D538EA" w14:textId="4C0C5786" w:rsidR="00DC015E" w:rsidRPr="00DC015E" w:rsidRDefault="00DC015E" w:rsidP="00DC015E">
                            <w:pPr>
                              <w:spacing w:before="120" w:after="120" w:line="300" w:lineRule="atLeast"/>
                              <w:rPr>
                                <w:rFonts w:cstheme="minorHAnsi"/>
                              </w:rPr>
                            </w:pPr>
                            <w:r w:rsidRPr="006301A8">
                              <w:rPr>
                                <w:rFonts w:cstheme="minorHAnsi"/>
                                <w:sz w:val="20"/>
                                <w:szCs w:val="20"/>
                              </w:rPr>
                              <w:t>Undertake a review of the Regional Sportsfield Strategy (originally developed in 2013) to determine</w:t>
                            </w:r>
                            <w:r>
                              <w:rPr>
                                <w:rFonts w:cstheme="minorHAnsi"/>
                                <w:sz w:val="20"/>
                                <w:szCs w:val="20"/>
                              </w:rPr>
                              <w:t xml:space="preserve"> whether there are</w:t>
                            </w:r>
                            <w:r w:rsidRPr="006301A8">
                              <w:rPr>
                                <w:rFonts w:cstheme="minorHAnsi"/>
                                <w:sz w:val="20"/>
                                <w:szCs w:val="20"/>
                              </w:rPr>
                              <w:t xml:space="preserve"> change</w:t>
                            </w:r>
                            <w:r>
                              <w:rPr>
                                <w:rFonts w:cstheme="minorHAnsi"/>
                                <w:sz w:val="20"/>
                                <w:szCs w:val="20"/>
                              </w:rPr>
                              <w:t>s</w:t>
                            </w:r>
                            <w:r w:rsidRPr="006301A8">
                              <w:rPr>
                                <w:rFonts w:cstheme="minorHAnsi"/>
                                <w:sz w:val="20"/>
                                <w:szCs w:val="20"/>
                              </w:rPr>
                              <w:t xml:space="preserve"> required </w:t>
                            </w:r>
                            <w:r>
                              <w:rPr>
                                <w:rFonts w:cstheme="minorHAnsi"/>
                                <w:sz w:val="20"/>
                                <w:szCs w:val="20"/>
                              </w:rPr>
                              <w:t>to the approach</w:t>
                            </w:r>
                            <w:r w:rsidR="00DA2F41">
                              <w:rPr>
                                <w:rFonts w:cstheme="minorHAnsi"/>
                                <w:sz w:val="20"/>
                                <w:szCs w:val="20"/>
                              </w:rPr>
                              <w:t xml:space="preserve"> and to consider the </w:t>
                            </w:r>
                            <w:r>
                              <w:rPr>
                                <w:rFonts w:cstheme="minorHAnsi"/>
                                <w:sz w:val="20"/>
                                <w:szCs w:val="20"/>
                              </w:rPr>
                              <w:t xml:space="preserve">recommendations from this project </w:t>
                            </w:r>
                            <w:r w:rsidR="00DA2F41">
                              <w:rPr>
                                <w:rFonts w:cstheme="minorHAnsi"/>
                                <w:sz w:val="20"/>
                                <w:szCs w:val="20"/>
                              </w:rPr>
                              <w:t xml:space="preserve"> including: </w:t>
                            </w:r>
                            <w:r>
                              <w:rPr>
                                <w:rFonts w:cstheme="minorHAnsi"/>
                                <w:sz w:val="20"/>
                                <w:szCs w:val="20"/>
                              </w:rPr>
                              <w:t>m</w:t>
                            </w:r>
                            <w:r w:rsidRPr="00E07E62">
                              <w:rPr>
                                <w:rFonts w:cstheme="minorHAnsi"/>
                                <w:sz w:val="20"/>
                                <w:szCs w:val="20"/>
                              </w:rPr>
                              <w:t>aximising use of existing fields through improved field quality,</w:t>
                            </w:r>
                            <w:r>
                              <w:rPr>
                                <w:rFonts w:cstheme="minorHAnsi"/>
                                <w:sz w:val="20"/>
                                <w:szCs w:val="20"/>
                              </w:rPr>
                              <w:t xml:space="preserve"> </w:t>
                            </w:r>
                            <w:r w:rsidR="00DA2F41">
                              <w:rPr>
                                <w:rFonts w:cstheme="minorHAnsi"/>
                                <w:sz w:val="20"/>
                                <w:szCs w:val="20"/>
                              </w:rPr>
                              <w:t xml:space="preserve">creating </w:t>
                            </w:r>
                            <w:r w:rsidR="000019AF">
                              <w:rPr>
                                <w:rFonts w:cstheme="minorHAnsi"/>
                                <w:sz w:val="20"/>
                                <w:szCs w:val="20"/>
                              </w:rPr>
                              <w:t xml:space="preserve">an </w:t>
                            </w:r>
                            <w:r w:rsidRPr="00E07E62">
                              <w:rPr>
                                <w:rFonts w:cstheme="minorHAnsi"/>
                                <w:sz w:val="20"/>
                                <w:szCs w:val="20"/>
                              </w:rPr>
                              <w:t>appropriate facility hierarch</w:t>
                            </w:r>
                            <w:r w:rsidR="000019AF">
                              <w:rPr>
                                <w:rFonts w:cstheme="minorHAnsi"/>
                                <w:sz w:val="20"/>
                                <w:szCs w:val="20"/>
                              </w:rPr>
                              <w:t>y</w:t>
                            </w:r>
                            <w:r w:rsidRPr="00E07E62">
                              <w:rPr>
                                <w:rFonts w:cstheme="minorHAnsi"/>
                                <w:sz w:val="20"/>
                                <w:szCs w:val="20"/>
                              </w:rPr>
                              <w:t xml:space="preserve"> (including rationalisation of lower quality fields where appropriate), additional sharing arrangements and </w:t>
                            </w:r>
                            <w:r w:rsidR="000019AF">
                              <w:rPr>
                                <w:rFonts w:cstheme="minorHAnsi"/>
                                <w:sz w:val="20"/>
                                <w:szCs w:val="20"/>
                              </w:rPr>
                              <w:t xml:space="preserve">potential </w:t>
                            </w:r>
                            <w:r w:rsidRPr="00E07E62">
                              <w:rPr>
                                <w:rFonts w:cstheme="minorHAnsi"/>
                                <w:sz w:val="20"/>
                                <w:szCs w:val="20"/>
                              </w:rPr>
                              <w:t>re-allocations between codes.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5A233" id="_x0000_s1027" type="#_x0000_t202" style="position:absolute;margin-left:546.3pt;margin-top:20.15pt;width:182.2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TiJQIAAE0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">
                <v:textbox style="mso-fit-shape-to-text:t">
                  <w:txbxContent>
                    <w:p w14:paraId="33B250C8"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4: </w:t>
                      </w:r>
                    </w:p>
                    <w:p w14:paraId="0B64FF87" w14:textId="5AD1D2FC" w:rsidR="00DC015E" w:rsidRPr="006301A8"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Regional Sportsfield Review</w:t>
                      </w:r>
                    </w:p>
                    <w:p w14:paraId="02D538EA" w14:textId="4C0C5786" w:rsidR="00DC015E" w:rsidRPr="00DC015E" w:rsidRDefault="00DC015E" w:rsidP="00DC015E">
                      <w:pPr>
                        <w:spacing w:before="120" w:after="120" w:line="300" w:lineRule="atLeast"/>
                        <w:rPr>
                          <w:rFonts w:cstheme="minorHAnsi"/>
                        </w:rPr>
                      </w:pPr>
                      <w:r w:rsidRPr="006301A8">
                        <w:rPr>
                          <w:rFonts w:cstheme="minorHAnsi"/>
                          <w:sz w:val="20"/>
                          <w:szCs w:val="20"/>
                        </w:rPr>
                        <w:t>Undertake a review of the Regional Sportsfield Strategy (originally developed in 2013) to determine</w:t>
                      </w:r>
                      <w:r>
                        <w:rPr>
                          <w:rFonts w:cstheme="minorHAnsi"/>
                          <w:sz w:val="20"/>
                          <w:szCs w:val="20"/>
                        </w:rPr>
                        <w:t xml:space="preserve"> whether there are</w:t>
                      </w:r>
                      <w:r w:rsidRPr="006301A8">
                        <w:rPr>
                          <w:rFonts w:cstheme="minorHAnsi"/>
                          <w:sz w:val="20"/>
                          <w:szCs w:val="20"/>
                        </w:rPr>
                        <w:t xml:space="preserve"> change</w:t>
                      </w:r>
                      <w:r>
                        <w:rPr>
                          <w:rFonts w:cstheme="minorHAnsi"/>
                          <w:sz w:val="20"/>
                          <w:szCs w:val="20"/>
                        </w:rPr>
                        <w:t>s</w:t>
                      </w:r>
                      <w:r w:rsidRPr="006301A8">
                        <w:rPr>
                          <w:rFonts w:cstheme="minorHAnsi"/>
                          <w:sz w:val="20"/>
                          <w:szCs w:val="20"/>
                        </w:rPr>
                        <w:t xml:space="preserve"> required </w:t>
                      </w:r>
                      <w:r>
                        <w:rPr>
                          <w:rFonts w:cstheme="minorHAnsi"/>
                          <w:sz w:val="20"/>
                          <w:szCs w:val="20"/>
                        </w:rPr>
                        <w:t>to the approach</w:t>
                      </w:r>
                      <w:r w:rsidR="00DA2F41">
                        <w:rPr>
                          <w:rFonts w:cstheme="minorHAnsi"/>
                          <w:sz w:val="20"/>
                          <w:szCs w:val="20"/>
                        </w:rPr>
                        <w:t xml:space="preserve"> and to consider the </w:t>
                      </w:r>
                      <w:r>
                        <w:rPr>
                          <w:rFonts w:cstheme="minorHAnsi"/>
                          <w:sz w:val="20"/>
                          <w:szCs w:val="20"/>
                        </w:rPr>
                        <w:t xml:space="preserve">recommendations from this project </w:t>
                      </w:r>
                      <w:r w:rsidR="00DA2F41">
                        <w:rPr>
                          <w:rFonts w:cstheme="minorHAnsi"/>
                          <w:sz w:val="20"/>
                          <w:szCs w:val="20"/>
                        </w:rPr>
                        <w:t xml:space="preserve"> including: </w:t>
                      </w:r>
                      <w:r>
                        <w:rPr>
                          <w:rFonts w:cstheme="minorHAnsi"/>
                          <w:sz w:val="20"/>
                          <w:szCs w:val="20"/>
                        </w:rPr>
                        <w:t>m</w:t>
                      </w:r>
                      <w:r w:rsidRPr="00E07E62">
                        <w:rPr>
                          <w:rFonts w:cstheme="minorHAnsi"/>
                          <w:sz w:val="20"/>
                          <w:szCs w:val="20"/>
                        </w:rPr>
                        <w:t>aximising use of existing fields through improved field quality,</w:t>
                      </w:r>
                      <w:r>
                        <w:rPr>
                          <w:rFonts w:cstheme="minorHAnsi"/>
                          <w:sz w:val="20"/>
                          <w:szCs w:val="20"/>
                        </w:rPr>
                        <w:t xml:space="preserve"> </w:t>
                      </w:r>
                      <w:r w:rsidR="00DA2F41">
                        <w:rPr>
                          <w:rFonts w:cstheme="minorHAnsi"/>
                          <w:sz w:val="20"/>
                          <w:szCs w:val="20"/>
                        </w:rPr>
                        <w:t xml:space="preserve">creating </w:t>
                      </w:r>
                      <w:r w:rsidR="000019AF">
                        <w:rPr>
                          <w:rFonts w:cstheme="minorHAnsi"/>
                          <w:sz w:val="20"/>
                          <w:szCs w:val="20"/>
                        </w:rPr>
                        <w:t xml:space="preserve">an </w:t>
                      </w:r>
                      <w:r w:rsidRPr="00E07E62">
                        <w:rPr>
                          <w:rFonts w:cstheme="minorHAnsi"/>
                          <w:sz w:val="20"/>
                          <w:szCs w:val="20"/>
                        </w:rPr>
                        <w:t>appropriate facility hierarch</w:t>
                      </w:r>
                      <w:r w:rsidR="000019AF">
                        <w:rPr>
                          <w:rFonts w:cstheme="minorHAnsi"/>
                          <w:sz w:val="20"/>
                          <w:szCs w:val="20"/>
                        </w:rPr>
                        <w:t>y</w:t>
                      </w:r>
                      <w:r w:rsidRPr="00E07E62">
                        <w:rPr>
                          <w:rFonts w:cstheme="minorHAnsi"/>
                          <w:sz w:val="20"/>
                          <w:szCs w:val="20"/>
                        </w:rPr>
                        <w:t xml:space="preserve"> (including rationalisation of lower quality fields where appropriate), additional sharing arrangements and </w:t>
                      </w:r>
                      <w:r w:rsidR="000019AF">
                        <w:rPr>
                          <w:rFonts w:cstheme="minorHAnsi"/>
                          <w:sz w:val="20"/>
                          <w:szCs w:val="20"/>
                        </w:rPr>
                        <w:t xml:space="preserve">potential </w:t>
                      </w:r>
                      <w:r w:rsidRPr="00E07E62">
                        <w:rPr>
                          <w:rFonts w:cstheme="minorHAnsi"/>
                          <w:sz w:val="20"/>
                          <w:szCs w:val="20"/>
                        </w:rPr>
                        <w:t>re-allocations between codes.</w:t>
                      </w:r>
                    </w:p>
                  </w:txbxContent>
                </v:textbox>
                <w10:wrap type="square"/>
              </v:shape>
            </w:pict>
          </mc:Fallback>
        </mc:AlternateContent>
      </w:r>
      <w:r w:rsidRPr="00DC015E">
        <w:rPr>
          <w:rFonts w:cstheme="minorHAnsi"/>
          <w:noProof/>
          <w:sz w:val="20"/>
          <w:szCs w:val="20"/>
        </w:rPr>
        <mc:AlternateContent>
          <mc:Choice Requires="wps">
            <w:drawing>
              <wp:anchor distT="45720" distB="45720" distL="114300" distR="114300" simplePos="0" relativeHeight="251658259" behindDoc="0" locked="0" layoutInCell="1" allowOverlap="1" wp14:anchorId="36FD7ACE" wp14:editId="49107B54">
                <wp:simplePos x="0" y="0"/>
                <wp:positionH relativeFrom="column">
                  <wp:posOffset>3461385</wp:posOffset>
                </wp:positionH>
                <wp:positionV relativeFrom="paragraph">
                  <wp:posOffset>255905</wp:posOffset>
                </wp:positionV>
                <wp:extent cx="3343275" cy="1404620"/>
                <wp:effectExtent l="0" t="0" r="2857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04620"/>
                        </a:xfrm>
                        <a:prstGeom prst="rect">
                          <a:avLst/>
                        </a:prstGeom>
                        <a:solidFill>
                          <a:srgbClr val="FFFFFF"/>
                        </a:solidFill>
                        <a:ln w="9525">
                          <a:solidFill>
                            <a:srgbClr val="000000"/>
                          </a:solidFill>
                          <a:miter lim="800000"/>
                          <a:headEnd/>
                          <a:tailEnd/>
                        </a:ln>
                      </wps:spPr>
                      <wps:txbx>
                        <w:txbxContent>
                          <w:p w14:paraId="17C2BCA4"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3: </w:t>
                            </w:r>
                          </w:p>
                          <w:p w14:paraId="0F2149DA" w14:textId="60E6838A" w:rsidR="00DC015E" w:rsidRPr="006301A8" w:rsidRDefault="00DC015E" w:rsidP="00DC015E">
                            <w:pPr>
                              <w:spacing w:before="120" w:after="120" w:line="300" w:lineRule="atLeast"/>
                              <w:rPr>
                                <w:rFonts w:cstheme="minorHAnsi"/>
                                <w:b/>
                                <w:bCs/>
                                <w:i/>
                                <w:iCs/>
                                <w:sz w:val="20"/>
                                <w:szCs w:val="20"/>
                              </w:rPr>
                            </w:pPr>
                            <w:r>
                              <w:rPr>
                                <w:rFonts w:cstheme="minorHAnsi"/>
                                <w:b/>
                                <w:bCs/>
                                <w:i/>
                                <w:iCs/>
                                <w:sz w:val="20"/>
                                <w:szCs w:val="20"/>
                              </w:rPr>
                              <w:t xml:space="preserve">Regional </w:t>
                            </w:r>
                            <w:r w:rsidRPr="006301A8">
                              <w:rPr>
                                <w:rFonts w:cstheme="minorHAnsi"/>
                                <w:b/>
                                <w:bCs/>
                                <w:i/>
                                <w:iCs/>
                                <w:sz w:val="20"/>
                                <w:szCs w:val="20"/>
                              </w:rPr>
                              <w:t xml:space="preserve">Indoor Facility </w:t>
                            </w:r>
                            <w:r w:rsidR="000C3F7A">
                              <w:rPr>
                                <w:rFonts w:cstheme="minorHAnsi"/>
                                <w:b/>
                                <w:bCs/>
                                <w:i/>
                                <w:iCs/>
                                <w:sz w:val="20"/>
                                <w:szCs w:val="20"/>
                              </w:rPr>
                              <w:t>study</w:t>
                            </w:r>
                          </w:p>
                          <w:p w14:paraId="5B6FB647" w14:textId="4A9DAE30" w:rsidR="00DC015E" w:rsidRPr="00DC015E" w:rsidRDefault="00DC015E" w:rsidP="00DC015E">
                            <w:pPr>
                              <w:spacing w:before="120" w:after="120" w:line="300" w:lineRule="atLeast"/>
                              <w:rPr>
                                <w:rFonts w:cstheme="minorHAnsi"/>
                                <w:sz w:val="20"/>
                                <w:szCs w:val="20"/>
                              </w:rPr>
                            </w:pPr>
                            <w:r>
                              <w:rPr>
                                <w:rFonts w:cstheme="minorHAnsi"/>
                                <w:sz w:val="20"/>
                                <w:szCs w:val="20"/>
                              </w:rPr>
                              <w:t xml:space="preserve">Taking a deeper dive into likely future demand for indoor facility spaces </w:t>
                            </w:r>
                            <w:r w:rsidRPr="006301A8">
                              <w:rPr>
                                <w:rFonts w:cstheme="minorHAnsi"/>
                                <w:sz w:val="20"/>
                                <w:szCs w:val="20"/>
                              </w:rPr>
                              <w:t>given the growth expected across the region in terms of population, geographic spread, and participation trends of sports that have historically used indoor court spaces</w:t>
                            </w:r>
                            <w:r>
                              <w:rPr>
                                <w:rFonts w:cstheme="minorHAnsi"/>
                                <w:sz w:val="20"/>
                                <w:szCs w:val="20"/>
                              </w:rPr>
                              <w:t xml:space="preserve">. Purpose would be to </w:t>
                            </w:r>
                            <w:r w:rsidR="00431CEB">
                              <w:rPr>
                                <w:rFonts w:cstheme="minorHAnsi"/>
                                <w:sz w:val="20"/>
                                <w:szCs w:val="20"/>
                              </w:rPr>
                              <w:t>create a hierarchy of indoor facilitie</w:t>
                            </w:r>
                            <w:r w:rsidR="00E827AB">
                              <w:rPr>
                                <w:rFonts w:cstheme="minorHAnsi"/>
                                <w:sz w:val="20"/>
                                <w:szCs w:val="20"/>
                              </w:rPr>
                              <w:t xml:space="preserve">s </w:t>
                            </w:r>
                            <w:r>
                              <w:rPr>
                                <w:rFonts w:cstheme="minorHAnsi"/>
                                <w:sz w:val="20"/>
                                <w:szCs w:val="20"/>
                              </w:rPr>
                              <w:t xml:space="preserve">and develop options for managing </w:t>
                            </w:r>
                            <w:r w:rsidR="00E827AB">
                              <w:rPr>
                                <w:rFonts w:cstheme="minorHAnsi"/>
                                <w:sz w:val="20"/>
                                <w:szCs w:val="20"/>
                              </w:rPr>
                              <w:t>demand</w:t>
                            </w:r>
                            <w:r>
                              <w:rPr>
                                <w:rFonts w:cstheme="minorHAnsi"/>
                                <w:sz w:val="20"/>
                                <w:szCs w:val="20"/>
                              </w:rPr>
                              <w:t xml:space="preserve"> beyond just new builds.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D7ACE" id="_x0000_s1028" type="#_x0000_t202" style="position:absolute;margin-left:272.55pt;margin-top:20.15pt;width:263.2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">
                <v:textbox style="mso-fit-shape-to-text:t">
                  <w:txbxContent>
                    <w:p w14:paraId="17C2BCA4"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3: </w:t>
                      </w:r>
                    </w:p>
                    <w:p w14:paraId="0F2149DA" w14:textId="60E6838A" w:rsidR="00DC015E" w:rsidRPr="006301A8" w:rsidRDefault="00DC015E" w:rsidP="00DC015E">
                      <w:pPr>
                        <w:spacing w:before="120" w:after="120" w:line="300" w:lineRule="atLeast"/>
                        <w:rPr>
                          <w:rFonts w:cstheme="minorHAnsi"/>
                          <w:b/>
                          <w:bCs/>
                          <w:i/>
                          <w:iCs/>
                          <w:sz w:val="20"/>
                          <w:szCs w:val="20"/>
                        </w:rPr>
                      </w:pPr>
                      <w:r>
                        <w:rPr>
                          <w:rFonts w:cstheme="minorHAnsi"/>
                          <w:b/>
                          <w:bCs/>
                          <w:i/>
                          <w:iCs/>
                          <w:sz w:val="20"/>
                          <w:szCs w:val="20"/>
                        </w:rPr>
                        <w:t xml:space="preserve">Regional </w:t>
                      </w:r>
                      <w:r w:rsidRPr="006301A8">
                        <w:rPr>
                          <w:rFonts w:cstheme="minorHAnsi"/>
                          <w:b/>
                          <w:bCs/>
                          <w:i/>
                          <w:iCs/>
                          <w:sz w:val="20"/>
                          <w:szCs w:val="20"/>
                        </w:rPr>
                        <w:t xml:space="preserve">Indoor Facility </w:t>
                      </w:r>
                      <w:r w:rsidR="000C3F7A">
                        <w:rPr>
                          <w:rFonts w:cstheme="minorHAnsi"/>
                          <w:b/>
                          <w:bCs/>
                          <w:i/>
                          <w:iCs/>
                          <w:sz w:val="20"/>
                          <w:szCs w:val="20"/>
                        </w:rPr>
                        <w:t>study</w:t>
                      </w:r>
                    </w:p>
                    <w:p w14:paraId="5B6FB647" w14:textId="4A9DAE30" w:rsidR="00DC015E" w:rsidRPr="00DC015E" w:rsidRDefault="00DC015E" w:rsidP="00DC015E">
                      <w:pPr>
                        <w:spacing w:before="120" w:after="120" w:line="300" w:lineRule="atLeast"/>
                        <w:rPr>
                          <w:rFonts w:cstheme="minorHAnsi"/>
                          <w:sz w:val="20"/>
                          <w:szCs w:val="20"/>
                        </w:rPr>
                      </w:pPr>
                      <w:r>
                        <w:rPr>
                          <w:rFonts w:cstheme="minorHAnsi"/>
                          <w:sz w:val="20"/>
                          <w:szCs w:val="20"/>
                        </w:rPr>
                        <w:t xml:space="preserve">Taking a deeper dive into likely future demand for indoor facility spaces </w:t>
                      </w:r>
                      <w:r w:rsidRPr="006301A8">
                        <w:rPr>
                          <w:rFonts w:cstheme="minorHAnsi"/>
                          <w:sz w:val="20"/>
                          <w:szCs w:val="20"/>
                        </w:rPr>
                        <w:t>given the growth expected across the region in terms of population, geographic spread, and participation trends of sports that have historically used indoor court spaces</w:t>
                      </w:r>
                      <w:r>
                        <w:rPr>
                          <w:rFonts w:cstheme="minorHAnsi"/>
                          <w:sz w:val="20"/>
                          <w:szCs w:val="20"/>
                        </w:rPr>
                        <w:t xml:space="preserve">. Purpose would be to </w:t>
                      </w:r>
                      <w:r w:rsidR="00431CEB">
                        <w:rPr>
                          <w:rFonts w:cstheme="minorHAnsi"/>
                          <w:sz w:val="20"/>
                          <w:szCs w:val="20"/>
                        </w:rPr>
                        <w:t>create a hierarchy of indoor facilitie</w:t>
                      </w:r>
                      <w:r w:rsidR="00E827AB">
                        <w:rPr>
                          <w:rFonts w:cstheme="minorHAnsi"/>
                          <w:sz w:val="20"/>
                          <w:szCs w:val="20"/>
                        </w:rPr>
                        <w:t xml:space="preserve">s </w:t>
                      </w:r>
                      <w:r>
                        <w:rPr>
                          <w:rFonts w:cstheme="minorHAnsi"/>
                          <w:sz w:val="20"/>
                          <w:szCs w:val="20"/>
                        </w:rPr>
                        <w:t xml:space="preserve">and develop options for managing </w:t>
                      </w:r>
                      <w:r w:rsidR="00E827AB">
                        <w:rPr>
                          <w:rFonts w:cstheme="minorHAnsi"/>
                          <w:sz w:val="20"/>
                          <w:szCs w:val="20"/>
                        </w:rPr>
                        <w:t>demand</w:t>
                      </w:r>
                      <w:r>
                        <w:rPr>
                          <w:rFonts w:cstheme="minorHAnsi"/>
                          <w:sz w:val="20"/>
                          <w:szCs w:val="20"/>
                        </w:rPr>
                        <w:t xml:space="preserve"> beyond just new builds.</w:t>
                      </w:r>
                    </w:p>
                  </w:txbxContent>
                </v:textbox>
                <w10:wrap type="square"/>
              </v:shape>
            </w:pict>
          </mc:Fallback>
        </mc:AlternateContent>
      </w:r>
      <w:r w:rsidRPr="00DC015E">
        <w:rPr>
          <w:rFonts w:cstheme="minorHAnsi"/>
          <w:noProof/>
          <w:sz w:val="20"/>
          <w:szCs w:val="20"/>
        </w:rPr>
        <mc:AlternateContent>
          <mc:Choice Requires="wps">
            <w:drawing>
              <wp:anchor distT="45720" distB="45720" distL="114300" distR="114300" simplePos="0" relativeHeight="251658258" behindDoc="0" locked="0" layoutInCell="1" allowOverlap="1" wp14:anchorId="1E674244" wp14:editId="0149EB2D">
                <wp:simplePos x="0" y="0"/>
                <wp:positionH relativeFrom="column">
                  <wp:posOffset>-5715</wp:posOffset>
                </wp:positionH>
                <wp:positionV relativeFrom="paragraph">
                  <wp:posOffset>265430</wp:posOffset>
                </wp:positionV>
                <wp:extent cx="3314700" cy="1404620"/>
                <wp:effectExtent l="0" t="0" r="1905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solidFill>
                            <a:srgbClr val="000000"/>
                          </a:solidFill>
                          <a:miter lim="800000"/>
                          <a:headEnd/>
                          <a:tailEnd/>
                        </a:ln>
                      </wps:spPr>
                      <wps:txbx>
                        <w:txbxContent>
                          <w:p w14:paraId="3BDAE688"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2: </w:t>
                            </w:r>
                          </w:p>
                          <w:p w14:paraId="60BD5D96" w14:textId="65DF1FFC" w:rsidR="00DC015E" w:rsidRPr="006301A8"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Sport sector priorities and processes</w:t>
                            </w:r>
                          </w:p>
                          <w:p w14:paraId="3E199664" w14:textId="2C077690" w:rsidR="00DC015E" w:rsidRPr="00DC015E" w:rsidRDefault="00DC015E" w:rsidP="00DC015E">
                            <w:pPr>
                              <w:spacing w:before="120" w:after="120" w:line="300" w:lineRule="atLeast"/>
                              <w:rPr>
                                <w:rFonts w:cstheme="minorHAnsi"/>
                                <w:sz w:val="20"/>
                                <w:szCs w:val="20"/>
                              </w:rPr>
                            </w:pPr>
                            <w:r w:rsidRPr="006301A8">
                              <w:rPr>
                                <w:rFonts w:cstheme="minorHAnsi"/>
                                <w:sz w:val="20"/>
                                <w:szCs w:val="20"/>
                              </w:rPr>
                              <w:t xml:space="preserve">Work with </w:t>
                            </w:r>
                            <w:r w:rsidR="002F28F3">
                              <w:rPr>
                                <w:rFonts w:cstheme="minorHAnsi"/>
                                <w:sz w:val="20"/>
                                <w:szCs w:val="20"/>
                              </w:rPr>
                              <w:t>sports</w:t>
                            </w:r>
                            <w:r w:rsidR="00D353A1">
                              <w:rPr>
                                <w:rFonts w:cstheme="minorHAnsi"/>
                                <w:sz w:val="20"/>
                                <w:szCs w:val="20"/>
                              </w:rPr>
                              <w:t xml:space="preserve"> sector</w:t>
                            </w:r>
                            <w:r w:rsidRPr="006301A8">
                              <w:rPr>
                                <w:rFonts w:cstheme="minorHAnsi"/>
                                <w:sz w:val="20"/>
                                <w:szCs w:val="20"/>
                              </w:rPr>
                              <w:t xml:space="preserve"> to embed a detailed process for developing and evaluating proposals for facility development </w:t>
                            </w:r>
                            <w:r w:rsidR="003071D8">
                              <w:rPr>
                                <w:rFonts w:cstheme="minorHAnsi"/>
                                <w:sz w:val="20"/>
                                <w:szCs w:val="20"/>
                              </w:rPr>
                              <w:t xml:space="preserve">prior to approaching councils and other funders. This process </w:t>
                            </w:r>
                            <w:r w:rsidR="00431CEB">
                              <w:rPr>
                                <w:rFonts w:cstheme="minorHAnsi"/>
                                <w:sz w:val="20"/>
                                <w:szCs w:val="20"/>
                              </w:rPr>
                              <w:t xml:space="preserve">would </w:t>
                            </w:r>
                            <w:r w:rsidRPr="006301A8">
                              <w:rPr>
                                <w:rFonts w:cstheme="minorHAnsi"/>
                                <w:sz w:val="20"/>
                                <w:szCs w:val="20"/>
                              </w:rPr>
                              <w:t xml:space="preserve">align with the Spaces and Places Planning Principles and </w:t>
                            </w:r>
                            <w:r w:rsidR="00431CEB">
                              <w:rPr>
                                <w:rFonts w:cstheme="minorHAnsi"/>
                                <w:sz w:val="20"/>
                                <w:szCs w:val="20"/>
                              </w:rPr>
                              <w:t xml:space="preserve">be </w:t>
                            </w:r>
                            <w:r w:rsidRPr="006301A8">
                              <w:rPr>
                                <w:rFonts w:cstheme="minorHAnsi"/>
                                <w:sz w:val="20"/>
                                <w:szCs w:val="20"/>
                              </w:rPr>
                              <w:t>compatible with the Concept and Plan stages of the Spaces and Places Facility Development Lifecycle</w:t>
                            </w:r>
                            <w:r>
                              <w:rPr>
                                <w:rFonts w:cstheme="minorHAnsi"/>
                                <w:sz w:val="20"/>
                                <w:szCs w:val="20"/>
                              </w:rPr>
                              <w:t xml:space="preserve"> (see Appendix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74244" id="_x0000_s1029" type="#_x0000_t202" style="position:absolute;margin-left:-.45pt;margin-top:20.9pt;width:261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">
                <v:textbox style="mso-fit-shape-to-text:t">
                  <w:txbxContent>
                    <w:p w14:paraId="3BDAE688" w14:textId="77777777" w:rsidR="00DC015E"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 xml:space="preserve">Project 2: </w:t>
                      </w:r>
                    </w:p>
                    <w:p w14:paraId="60BD5D96" w14:textId="65DF1FFC" w:rsidR="00DC015E" w:rsidRPr="006301A8" w:rsidRDefault="00DC015E" w:rsidP="00DC015E">
                      <w:pPr>
                        <w:spacing w:before="120" w:after="120" w:line="300" w:lineRule="atLeast"/>
                        <w:rPr>
                          <w:rFonts w:cstheme="minorHAnsi"/>
                          <w:b/>
                          <w:bCs/>
                          <w:i/>
                          <w:iCs/>
                          <w:sz w:val="20"/>
                          <w:szCs w:val="20"/>
                        </w:rPr>
                      </w:pPr>
                      <w:r w:rsidRPr="006301A8">
                        <w:rPr>
                          <w:rFonts w:cstheme="minorHAnsi"/>
                          <w:b/>
                          <w:bCs/>
                          <w:i/>
                          <w:iCs/>
                          <w:sz w:val="20"/>
                          <w:szCs w:val="20"/>
                        </w:rPr>
                        <w:t>Sport sector priorities and processes</w:t>
                      </w:r>
                    </w:p>
                    <w:p w14:paraId="3E199664" w14:textId="2C077690" w:rsidR="00DC015E" w:rsidRPr="00DC015E" w:rsidRDefault="00DC015E" w:rsidP="00DC015E">
                      <w:pPr>
                        <w:spacing w:before="120" w:after="120" w:line="300" w:lineRule="atLeast"/>
                        <w:rPr>
                          <w:rFonts w:cstheme="minorHAnsi"/>
                          <w:sz w:val="20"/>
                          <w:szCs w:val="20"/>
                        </w:rPr>
                      </w:pPr>
                      <w:r w:rsidRPr="006301A8">
                        <w:rPr>
                          <w:rFonts w:cstheme="minorHAnsi"/>
                          <w:sz w:val="20"/>
                          <w:szCs w:val="20"/>
                        </w:rPr>
                        <w:t xml:space="preserve">Work with </w:t>
                      </w:r>
                      <w:r w:rsidR="002F28F3">
                        <w:rPr>
                          <w:rFonts w:cstheme="minorHAnsi"/>
                          <w:sz w:val="20"/>
                          <w:szCs w:val="20"/>
                        </w:rPr>
                        <w:t>sports</w:t>
                      </w:r>
                      <w:r w:rsidR="00D353A1">
                        <w:rPr>
                          <w:rFonts w:cstheme="minorHAnsi"/>
                          <w:sz w:val="20"/>
                          <w:szCs w:val="20"/>
                        </w:rPr>
                        <w:t xml:space="preserve"> sector</w:t>
                      </w:r>
                      <w:r w:rsidRPr="006301A8">
                        <w:rPr>
                          <w:rFonts w:cstheme="minorHAnsi"/>
                          <w:sz w:val="20"/>
                          <w:szCs w:val="20"/>
                        </w:rPr>
                        <w:t xml:space="preserve"> to embed a detailed process for developing and evaluating proposals for facility development </w:t>
                      </w:r>
                      <w:r w:rsidR="003071D8">
                        <w:rPr>
                          <w:rFonts w:cstheme="minorHAnsi"/>
                          <w:sz w:val="20"/>
                          <w:szCs w:val="20"/>
                        </w:rPr>
                        <w:t xml:space="preserve">prior to approaching councils and other funders. This process </w:t>
                      </w:r>
                      <w:r w:rsidR="00431CEB">
                        <w:rPr>
                          <w:rFonts w:cstheme="minorHAnsi"/>
                          <w:sz w:val="20"/>
                          <w:szCs w:val="20"/>
                        </w:rPr>
                        <w:t xml:space="preserve">would </w:t>
                      </w:r>
                      <w:r w:rsidRPr="006301A8">
                        <w:rPr>
                          <w:rFonts w:cstheme="minorHAnsi"/>
                          <w:sz w:val="20"/>
                          <w:szCs w:val="20"/>
                        </w:rPr>
                        <w:t xml:space="preserve">align with the Spaces and Places Planning Principles and </w:t>
                      </w:r>
                      <w:r w:rsidR="00431CEB">
                        <w:rPr>
                          <w:rFonts w:cstheme="minorHAnsi"/>
                          <w:sz w:val="20"/>
                          <w:szCs w:val="20"/>
                        </w:rPr>
                        <w:t xml:space="preserve">be </w:t>
                      </w:r>
                      <w:r w:rsidRPr="006301A8">
                        <w:rPr>
                          <w:rFonts w:cstheme="minorHAnsi"/>
                          <w:sz w:val="20"/>
                          <w:szCs w:val="20"/>
                        </w:rPr>
                        <w:t>compatible with the Concept and Plan stages of the Spaces and Places Facility Development Lifecycle</w:t>
                      </w:r>
                      <w:r>
                        <w:rPr>
                          <w:rFonts w:cstheme="minorHAnsi"/>
                          <w:sz w:val="20"/>
                          <w:szCs w:val="20"/>
                        </w:rPr>
                        <w:t xml:space="preserve"> (see Appendix 3). </w:t>
                      </w:r>
                    </w:p>
                  </w:txbxContent>
                </v:textbox>
                <w10:wrap type="square"/>
              </v:shape>
            </w:pict>
          </mc:Fallback>
        </mc:AlternateContent>
      </w:r>
      <w:r w:rsidR="00730D15">
        <w:rPr>
          <w:rFonts w:cstheme="minorHAnsi"/>
          <w:b/>
          <w:bCs/>
        </w:rPr>
        <w:t>PROJECTS (1-3 YEARS)</w:t>
      </w:r>
    </w:p>
    <w:p w14:paraId="273DFEB0" w14:textId="6925C6F6" w:rsidR="009263C4" w:rsidRDefault="007D67EC" w:rsidP="0025498B">
      <w:pPr>
        <w:spacing w:before="120" w:after="120" w:line="300" w:lineRule="atLeast"/>
        <w:rPr>
          <w:rFonts w:cstheme="minorHAnsi"/>
          <w:b/>
          <w:bCs/>
        </w:rPr>
      </w:pPr>
      <w:r w:rsidRPr="00642375">
        <w:rPr>
          <w:noProof/>
        </w:rPr>
        <w:drawing>
          <wp:anchor distT="0" distB="0" distL="114300" distR="114300" simplePos="0" relativeHeight="251658262" behindDoc="0" locked="0" layoutInCell="1" allowOverlap="1" wp14:anchorId="509AC005" wp14:editId="7D094371">
            <wp:simplePos x="0" y="0"/>
            <wp:positionH relativeFrom="column">
              <wp:posOffset>41910</wp:posOffset>
            </wp:positionH>
            <wp:positionV relativeFrom="paragraph">
              <wp:posOffset>2313305</wp:posOffset>
            </wp:positionV>
            <wp:extent cx="2571750" cy="164576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802" cy="1652202"/>
                    </a:xfrm>
                    <a:prstGeom prst="rect">
                      <a:avLst/>
                    </a:prstGeom>
                  </pic:spPr>
                </pic:pic>
              </a:graphicData>
            </a:graphic>
            <wp14:sizeRelH relativeFrom="page">
              <wp14:pctWidth>0</wp14:pctWidth>
            </wp14:sizeRelH>
            <wp14:sizeRelV relativeFrom="page">
              <wp14:pctHeight>0</wp14:pctHeight>
            </wp14:sizeRelV>
          </wp:anchor>
        </w:drawing>
      </w:r>
    </w:p>
    <w:p w14:paraId="723E3EA2" w14:textId="73BB07C3" w:rsidR="009263C4" w:rsidRDefault="009263C4" w:rsidP="0025498B">
      <w:pPr>
        <w:spacing w:before="120" w:after="120" w:line="300" w:lineRule="atLeast"/>
        <w:rPr>
          <w:rFonts w:cstheme="minorHAnsi"/>
          <w:b/>
          <w:bCs/>
        </w:rPr>
      </w:pPr>
    </w:p>
    <w:p w14:paraId="1B31F649" w14:textId="5FF0EBDD" w:rsidR="009263C4" w:rsidRDefault="009263C4" w:rsidP="0025498B">
      <w:pPr>
        <w:spacing w:before="120" w:after="120" w:line="300" w:lineRule="atLeast"/>
        <w:rPr>
          <w:rFonts w:cstheme="minorHAnsi"/>
          <w:b/>
          <w:bCs/>
        </w:rPr>
      </w:pPr>
    </w:p>
    <w:p w14:paraId="43ECD4BA" w14:textId="75225F17" w:rsidR="009263C4" w:rsidRPr="0025498B" w:rsidRDefault="009263C4" w:rsidP="0025498B">
      <w:pPr>
        <w:spacing w:before="120" w:after="120" w:line="300" w:lineRule="atLeast"/>
        <w:rPr>
          <w:rFonts w:cstheme="minorHAnsi"/>
          <w:b/>
          <w:bCs/>
        </w:rPr>
      </w:pPr>
    </w:p>
    <w:p w14:paraId="2605AB94" w14:textId="12E42E16" w:rsidR="00DC015E" w:rsidRPr="00DC015E" w:rsidRDefault="00DC015E" w:rsidP="00D12AE6">
      <w:pPr>
        <w:spacing w:before="120" w:after="120" w:line="300" w:lineRule="atLeast"/>
        <w:rPr>
          <w:rFonts w:cstheme="minorHAnsi"/>
          <w:sz w:val="20"/>
          <w:szCs w:val="20"/>
        </w:rPr>
      </w:pPr>
    </w:p>
    <w:p w14:paraId="4397D3A9" w14:textId="23B3FC8B" w:rsidR="00DC015E" w:rsidRDefault="00DC015E" w:rsidP="00D12AE6">
      <w:pPr>
        <w:spacing w:before="120" w:after="120" w:line="300" w:lineRule="atLeast"/>
        <w:rPr>
          <w:rFonts w:cstheme="minorHAnsi"/>
          <w:b/>
          <w:bCs/>
          <w:i/>
          <w:iCs/>
          <w:sz w:val="20"/>
          <w:szCs w:val="20"/>
        </w:rPr>
      </w:pPr>
    </w:p>
    <w:p w14:paraId="38085A32" w14:textId="5228D446" w:rsidR="00DC015E" w:rsidRDefault="00DC015E" w:rsidP="00D12AE6">
      <w:pPr>
        <w:spacing w:before="120" w:after="120" w:line="300" w:lineRule="atLeast"/>
        <w:rPr>
          <w:rFonts w:cstheme="minorHAnsi"/>
          <w:b/>
          <w:bCs/>
          <w:i/>
          <w:iCs/>
          <w:sz w:val="20"/>
          <w:szCs w:val="20"/>
        </w:rPr>
      </w:pPr>
    </w:p>
    <w:p w14:paraId="2E74A99C" w14:textId="2667A3E8" w:rsidR="00173631" w:rsidRDefault="00173631">
      <w:pPr>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br w:type="page"/>
      </w:r>
    </w:p>
    <w:p w14:paraId="43A77A4E" w14:textId="61B1F24A" w:rsidR="006301A8" w:rsidRPr="006301A8" w:rsidRDefault="009E2875"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sidRPr="006301A8">
        <w:rPr>
          <w:rFonts w:ascii="Arial Rounded MT Bold" w:hAnsi="Arial Rounded MT Bold"/>
          <w:color w:val="2E74B5" w:themeColor="accent5" w:themeShade="BF"/>
          <w:sz w:val="44"/>
          <w:szCs w:val="44"/>
        </w:rPr>
        <w:lastRenderedPageBreak/>
        <w:t xml:space="preserve">IMPLEMENTATION </w:t>
      </w:r>
    </w:p>
    <w:p w14:paraId="0B0BCF24" w14:textId="4AA06C2A" w:rsidR="006301A8" w:rsidRPr="006301A8" w:rsidRDefault="00F77645" w:rsidP="006301A8">
      <w:pPr>
        <w:rPr>
          <w:rFonts w:cstheme="minorHAnsi"/>
          <w:color w:val="000000" w:themeColor="text1"/>
          <w:sz w:val="20"/>
          <w:szCs w:val="20"/>
        </w:rPr>
      </w:pPr>
      <w:r w:rsidRPr="009A2BB5">
        <w:rPr>
          <w:noProof/>
        </w:rPr>
        <w:drawing>
          <wp:anchor distT="0" distB="0" distL="114300" distR="114300" simplePos="0" relativeHeight="251658261" behindDoc="0" locked="0" layoutInCell="1" allowOverlap="1" wp14:anchorId="22F17113" wp14:editId="03F96E8B">
            <wp:simplePos x="0" y="0"/>
            <wp:positionH relativeFrom="column">
              <wp:posOffset>6572250</wp:posOffset>
            </wp:positionH>
            <wp:positionV relativeFrom="paragraph">
              <wp:posOffset>118745</wp:posOffset>
            </wp:positionV>
            <wp:extent cx="2678005" cy="2008505"/>
            <wp:effectExtent l="152400" t="152400" r="370205" b="3536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8005" cy="2008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01A8" w:rsidRPr="006301A8">
        <w:rPr>
          <w:rFonts w:cstheme="minorHAnsi"/>
          <w:color w:val="000000" w:themeColor="text1"/>
          <w:sz w:val="20"/>
          <w:szCs w:val="20"/>
        </w:rPr>
        <w:t>Sport Wellington will lead the implementation of this plan in partnership with key stakeholders</w:t>
      </w:r>
      <w:r w:rsidR="006301A8" w:rsidRPr="006301A8">
        <w:rPr>
          <w:rFonts w:cstheme="minorHAnsi"/>
          <w:color w:val="2F5496" w:themeColor="accent1" w:themeShade="BF"/>
          <w:sz w:val="24"/>
          <w:szCs w:val="24"/>
        </w:rPr>
        <w:t xml:space="preserve"> </w:t>
      </w:r>
      <w:r w:rsidR="006301A8" w:rsidRPr="006301A8">
        <w:rPr>
          <w:rFonts w:cstheme="minorHAnsi"/>
          <w:color w:val="000000" w:themeColor="text1"/>
          <w:sz w:val="20"/>
          <w:szCs w:val="20"/>
        </w:rPr>
        <w:t>- Councils, funders, Sport NZ, and sector groups</w:t>
      </w:r>
      <w:r w:rsidR="006301A8" w:rsidRPr="006301A8">
        <w:rPr>
          <w:rFonts w:cstheme="minorHAnsi"/>
          <w:i/>
          <w:color w:val="000000" w:themeColor="text1"/>
          <w:sz w:val="20"/>
          <w:szCs w:val="20"/>
        </w:rPr>
        <w:t xml:space="preserve"> – </w:t>
      </w:r>
      <w:r w:rsidR="006301A8" w:rsidRPr="006301A8">
        <w:rPr>
          <w:rFonts w:cstheme="minorHAnsi"/>
          <w:color w:val="000000" w:themeColor="text1"/>
          <w:sz w:val="20"/>
          <w:szCs w:val="20"/>
        </w:rPr>
        <w:t xml:space="preserve">through a dedicated Spaces and Places resource. </w:t>
      </w:r>
    </w:p>
    <w:p w14:paraId="5F165285" w14:textId="393CD430" w:rsidR="006301A8" w:rsidRPr="006301A8" w:rsidRDefault="006301A8" w:rsidP="006301A8">
      <w:pPr>
        <w:rPr>
          <w:rFonts w:cstheme="minorHAnsi"/>
          <w:color w:val="000000" w:themeColor="text1"/>
          <w:sz w:val="20"/>
          <w:szCs w:val="20"/>
        </w:rPr>
      </w:pPr>
      <w:r w:rsidRPr="006301A8">
        <w:rPr>
          <w:rFonts w:cstheme="minorHAnsi"/>
          <w:color w:val="000000" w:themeColor="text1"/>
          <w:sz w:val="20"/>
          <w:szCs w:val="20"/>
        </w:rPr>
        <w:t>Sport Wellington’s role will be to:</w:t>
      </w:r>
    </w:p>
    <w:p w14:paraId="7668AC3A" w14:textId="0ACC4061" w:rsidR="006301A8" w:rsidRPr="006301A8" w:rsidRDefault="006301A8" w:rsidP="006301A8">
      <w:pPr>
        <w:numPr>
          <w:ilvl w:val="0"/>
          <w:numId w:val="6"/>
        </w:numPr>
        <w:spacing w:before="120" w:after="120" w:line="300" w:lineRule="atLeast"/>
        <w:ind w:left="357" w:hanging="357"/>
        <w:rPr>
          <w:rFonts w:cstheme="minorHAnsi"/>
          <w:color w:val="000000" w:themeColor="text1"/>
          <w:sz w:val="20"/>
          <w:szCs w:val="20"/>
        </w:rPr>
      </w:pPr>
      <w:r w:rsidRPr="006301A8">
        <w:rPr>
          <w:rFonts w:cstheme="minorHAnsi"/>
          <w:color w:val="000000" w:themeColor="text1"/>
          <w:sz w:val="20"/>
          <w:szCs w:val="20"/>
        </w:rPr>
        <w:t>Advocate for the use of this plan to guide decision-making</w:t>
      </w:r>
    </w:p>
    <w:p w14:paraId="28A42D33" w14:textId="65317BEE" w:rsidR="006301A8" w:rsidRPr="006301A8" w:rsidRDefault="006301A8" w:rsidP="006301A8">
      <w:pPr>
        <w:numPr>
          <w:ilvl w:val="0"/>
          <w:numId w:val="6"/>
        </w:numPr>
        <w:spacing w:before="120" w:after="120" w:line="300" w:lineRule="atLeast"/>
        <w:ind w:left="357" w:hanging="357"/>
        <w:rPr>
          <w:rFonts w:cstheme="minorHAnsi"/>
          <w:color w:val="000000" w:themeColor="text1"/>
          <w:sz w:val="20"/>
          <w:szCs w:val="20"/>
        </w:rPr>
      </w:pPr>
      <w:r w:rsidRPr="006301A8">
        <w:rPr>
          <w:rFonts w:cstheme="minorHAnsi"/>
          <w:color w:val="000000" w:themeColor="text1"/>
          <w:sz w:val="20"/>
          <w:szCs w:val="20"/>
        </w:rPr>
        <w:t>Identify and agree the responsibilities of partners in the delivery of this plan</w:t>
      </w:r>
    </w:p>
    <w:p w14:paraId="3D66C862" w14:textId="196599E1" w:rsidR="006301A8" w:rsidRPr="006301A8" w:rsidRDefault="006301A8" w:rsidP="006301A8">
      <w:pPr>
        <w:numPr>
          <w:ilvl w:val="0"/>
          <w:numId w:val="6"/>
        </w:numPr>
        <w:spacing w:before="120" w:after="120" w:line="300" w:lineRule="atLeast"/>
        <w:ind w:left="357" w:hanging="357"/>
        <w:rPr>
          <w:rFonts w:cstheme="minorHAnsi"/>
          <w:color w:val="000000" w:themeColor="text1"/>
          <w:sz w:val="20"/>
          <w:szCs w:val="20"/>
        </w:rPr>
      </w:pPr>
      <w:r w:rsidRPr="006301A8">
        <w:rPr>
          <w:rFonts w:cstheme="minorHAnsi"/>
          <w:color w:val="000000" w:themeColor="text1"/>
          <w:sz w:val="20"/>
          <w:szCs w:val="20"/>
        </w:rPr>
        <w:t>Work with sporting stakeholders to increase the sector’s understanding of the principles applied to decision-making</w:t>
      </w:r>
    </w:p>
    <w:p w14:paraId="2B221CB0" w14:textId="149D9165" w:rsidR="006301A8" w:rsidRPr="006301A8" w:rsidRDefault="006301A8" w:rsidP="006301A8">
      <w:pPr>
        <w:numPr>
          <w:ilvl w:val="0"/>
          <w:numId w:val="6"/>
        </w:numPr>
        <w:spacing w:before="120" w:after="120" w:line="300" w:lineRule="atLeast"/>
        <w:ind w:left="357" w:hanging="357"/>
        <w:rPr>
          <w:rFonts w:cstheme="minorHAnsi"/>
          <w:color w:val="000000" w:themeColor="text1"/>
          <w:sz w:val="20"/>
          <w:szCs w:val="20"/>
        </w:rPr>
      </w:pPr>
      <w:r w:rsidRPr="006301A8">
        <w:rPr>
          <w:rFonts w:cstheme="minorHAnsi"/>
          <w:color w:val="000000" w:themeColor="text1"/>
          <w:sz w:val="20"/>
          <w:szCs w:val="20"/>
        </w:rPr>
        <w:t>Work with the sector to further understand and clarify their facility needs</w:t>
      </w:r>
    </w:p>
    <w:p w14:paraId="56B3518B" w14:textId="74466680" w:rsidR="006301A8" w:rsidRDefault="006301A8" w:rsidP="006301A8">
      <w:pPr>
        <w:numPr>
          <w:ilvl w:val="0"/>
          <w:numId w:val="6"/>
        </w:numPr>
        <w:spacing w:before="120" w:after="120" w:line="300" w:lineRule="atLeast"/>
        <w:ind w:left="357" w:hanging="357"/>
        <w:rPr>
          <w:rFonts w:cstheme="minorHAnsi"/>
          <w:color w:val="000000" w:themeColor="text1"/>
          <w:sz w:val="20"/>
          <w:szCs w:val="20"/>
        </w:rPr>
      </w:pPr>
      <w:r w:rsidRPr="006301A8">
        <w:rPr>
          <w:rFonts w:cstheme="minorHAnsi"/>
          <w:color w:val="000000" w:themeColor="text1"/>
          <w:sz w:val="20"/>
          <w:szCs w:val="20"/>
        </w:rPr>
        <w:t>Provide ongoing support during the implementation.</w:t>
      </w:r>
    </w:p>
    <w:p w14:paraId="572057FB" w14:textId="649EA648" w:rsidR="00F77645" w:rsidRDefault="00F77645" w:rsidP="00F77645">
      <w:pPr>
        <w:spacing w:before="120" w:after="120" w:line="300" w:lineRule="atLeast"/>
        <w:rPr>
          <w:rFonts w:cstheme="minorHAnsi"/>
          <w:color w:val="000000" w:themeColor="text1"/>
          <w:sz w:val="20"/>
          <w:szCs w:val="20"/>
        </w:rPr>
      </w:pPr>
    </w:p>
    <w:p w14:paraId="11436BE8" w14:textId="3AE0784A" w:rsidR="00CC7A17" w:rsidRDefault="00FC69EF" w:rsidP="00E32067">
      <w:pPr>
        <w:spacing w:before="120" w:after="120" w:line="300" w:lineRule="atLeast"/>
        <w:rPr>
          <w:rFonts w:cstheme="minorHAnsi"/>
          <w:color w:val="000000" w:themeColor="text1"/>
          <w:sz w:val="20"/>
          <w:szCs w:val="20"/>
        </w:rPr>
      </w:pPr>
      <w:r>
        <w:rPr>
          <w:rFonts w:cstheme="minorHAnsi"/>
          <w:color w:val="000000" w:themeColor="text1"/>
          <w:sz w:val="20"/>
          <w:szCs w:val="20"/>
        </w:rPr>
        <w:t xml:space="preserve">Implementation </w:t>
      </w:r>
      <w:r w:rsidR="002661EE">
        <w:rPr>
          <w:rFonts w:cstheme="minorHAnsi"/>
          <w:color w:val="000000" w:themeColor="text1"/>
          <w:sz w:val="20"/>
          <w:szCs w:val="20"/>
        </w:rPr>
        <w:t>of</w:t>
      </w:r>
      <w:r>
        <w:rPr>
          <w:rFonts w:cstheme="minorHAnsi"/>
          <w:color w:val="000000" w:themeColor="text1"/>
          <w:sz w:val="20"/>
          <w:szCs w:val="20"/>
        </w:rPr>
        <w:t xml:space="preserve"> the </w:t>
      </w:r>
      <w:r w:rsidR="002661EE">
        <w:rPr>
          <w:rFonts w:cstheme="minorHAnsi"/>
          <w:color w:val="000000" w:themeColor="text1"/>
          <w:sz w:val="20"/>
          <w:szCs w:val="20"/>
        </w:rPr>
        <w:t>p</w:t>
      </w:r>
      <w:r>
        <w:rPr>
          <w:rFonts w:cstheme="minorHAnsi"/>
          <w:color w:val="000000" w:themeColor="text1"/>
          <w:sz w:val="20"/>
          <w:szCs w:val="20"/>
        </w:rPr>
        <w:t>lan will be overseen by</w:t>
      </w:r>
      <w:r w:rsidR="006A7D6D">
        <w:rPr>
          <w:rFonts w:cstheme="minorHAnsi"/>
          <w:color w:val="000000" w:themeColor="text1"/>
          <w:sz w:val="20"/>
          <w:szCs w:val="20"/>
        </w:rPr>
        <w:t xml:space="preserve"> a </w:t>
      </w:r>
      <w:r w:rsidR="00CC7A17">
        <w:rPr>
          <w:rFonts w:cstheme="minorHAnsi"/>
          <w:color w:val="000000" w:themeColor="text1"/>
          <w:sz w:val="20"/>
          <w:szCs w:val="20"/>
        </w:rPr>
        <w:t>S</w:t>
      </w:r>
      <w:r w:rsidR="006A7D6D">
        <w:rPr>
          <w:rFonts w:cstheme="minorHAnsi"/>
          <w:color w:val="000000" w:themeColor="text1"/>
          <w:sz w:val="20"/>
          <w:szCs w:val="20"/>
        </w:rPr>
        <w:t xml:space="preserve">trategy </w:t>
      </w:r>
      <w:r w:rsidR="00CC7A17">
        <w:rPr>
          <w:rFonts w:cstheme="minorHAnsi"/>
          <w:color w:val="000000" w:themeColor="text1"/>
          <w:sz w:val="20"/>
          <w:szCs w:val="20"/>
        </w:rPr>
        <w:t>S</w:t>
      </w:r>
      <w:r w:rsidR="006A7D6D">
        <w:rPr>
          <w:rFonts w:cstheme="minorHAnsi"/>
          <w:color w:val="000000" w:themeColor="text1"/>
          <w:sz w:val="20"/>
          <w:szCs w:val="20"/>
        </w:rPr>
        <w:t xml:space="preserve">teering </w:t>
      </w:r>
      <w:r w:rsidR="00CC7A17">
        <w:rPr>
          <w:rFonts w:cstheme="minorHAnsi"/>
          <w:color w:val="000000" w:themeColor="text1"/>
          <w:sz w:val="20"/>
          <w:szCs w:val="20"/>
        </w:rPr>
        <w:t>G</w:t>
      </w:r>
      <w:r w:rsidR="006A7D6D">
        <w:rPr>
          <w:rFonts w:cstheme="minorHAnsi"/>
          <w:color w:val="000000" w:themeColor="text1"/>
          <w:sz w:val="20"/>
          <w:szCs w:val="20"/>
        </w:rPr>
        <w:t>roup</w:t>
      </w:r>
      <w:r w:rsidR="00CC7A17">
        <w:rPr>
          <w:rFonts w:cstheme="minorHAnsi"/>
          <w:color w:val="000000" w:themeColor="text1"/>
          <w:sz w:val="20"/>
          <w:szCs w:val="20"/>
        </w:rPr>
        <w:t xml:space="preserve"> which will have responsibility for:</w:t>
      </w:r>
    </w:p>
    <w:p w14:paraId="5E48809E" w14:textId="037EB7AD" w:rsidR="003B6859" w:rsidRPr="006B29C0" w:rsidRDefault="006D1745" w:rsidP="004676C4">
      <w:pPr>
        <w:pStyle w:val="ListParagraph"/>
        <w:numPr>
          <w:ilvl w:val="0"/>
          <w:numId w:val="5"/>
        </w:numPr>
        <w:spacing w:before="120" w:after="120" w:line="300" w:lineRule="atLeast"/>
        <w:rPr>
          <w:sz w:val="20"/>
          <w:szCs w:val="20"/>
        </w:rPr>
      </w:pPr>
      <w:r w:rsidRPr="006B29C0">
        <w:rPr>
          <w:sz w:val="20"/>
          <w:szCs w:val="20"/>
        </w:rPr>
        <w:t xml:space="preserve">Promoting the </w:t>
      </w:r>
      <w:r w:rsidR="00D432CD" w:rsidRPr="006B29C0">
        <w:rPr>
          <w:sz w:val="20"/>
          <w:szCs w:val="20"/>
        </w:rPr>
        <w:t xml:space="preserve">use of the planning principles </w:t>
      </w:r>
      <w:r w:rsidR="00814F6A" w:rsidRPr="006B29C0">
        <w:rPr>
          <w:sz w:val="20"/>
          <w:szCs w:val="20"/>
        </w:rPr>
        <w:t xml:space="preserve">as a part of the future </w:t>
      </w:r>
      <w:r w:rsidR="00F14276" w:rsidRPr="006B29C0">
        <w:rPr>
          <w:sz w:val="20"/>
          <w:szCs w:val="20"/>
        </w:rPr>
        <w:t xml:space="preserve">regional </w:t>
      </w:r>
      <w:r w:rsidR="00814F6A" w:rsidRPr="006B29C0">
        <w:rPr>
          <w:sz w:val="20"/>
          <w:szCs w:val="20"/>
        </w:rPr>
        <w:t>planning approach to facility development</w:t>
      </w:r>
    </w:p>
    <w:p w14:paraId="78686FFD" w14:textId="7E10AC5E" w:rsidR="00F71C76" w:rsidRPr="006B29C0" w:rsidRDefault="004676C4" w:rsidP="003B6859">
      <w:pPr>
        <w:pStyle w:val="ListParagraph"/>
        <w:numPr>
          <w:ilvl w:val="0"/>
          <w:numId w:val="5"/>
        </w:numPr>
        <w:spacing w:before="120" w:after="120" w:line="300" w:lineRule="atLeast"/>
        <w:rPr>
          <w:sz w:val="20"/>
          <w:szCs w:val="20"/>
        </w:rPr>
      </w:pPr>
      <w:r w:rsidRPr="006B29C0">
        <w:rPr>
          <w:sz w:val="20"/>
          <w:szCs w:val="20"/>
        </w:rPr>
        <w:t>Monitor</w:t>
      </w:r>
      <w:r w:rsidR="003B6859" w:rsidRPr="006B29C0">
        <w:rPr>
          <w:sz w:val="20"/>
          <w:szCs w:val="20"/>
        </w:rPr>
        <w:t>ing</w:t>
      </w:r>
      <w:r w:rsidRPr="006B29C0">
        <w:rPr>
          <w:sz w:val="20"/>
          <w:szCs w:val="20"/>
        </w:rPr>
        <w:t>, review</w:t>
      </w:r>
      <w:r w:rsidR="003B6859" w:rsidRPr="006B29C0">
        <w:rPr>
          <w:sz w:val="20"/>
          <w:szCs w:val="20"/>
        </w:rPr>
        <w:t>ing</w:t>
      </w:r>
      <w:r w:rsidRPr="006B29C0">
        <w:rPr>
          <w:sz w:val="20"/>
          <w:szCs w:val="20"/>
        </w:rPr>
        <w:t xml:space="preserve"> and provid</w:t>
      </w:r>
      <w:r w:rsidR="003B6859" w:rsidRPr="006B29C0">
        <w:rPr>
          <w:sz w:val="20"/>
          <w:szCs w:val="20"/>
        </w:rPr>
        <w:t>ing</w:t>
      </w:r>
      <w:r w:rsidRPr="006B29C0">
        <w:rPr>
          <w:sz w:val="20"/>
          <w:szCs w:val="20"/>
        </w:rPr>
        <w:t xml:space="preserve"> regular updates on the progress </w:t>
      </w:r>
      <w:r w:rsidR="003B6859" w:rsidRPr="006B29C0">
        <w:rPr>
          <w:sz w:val="20"/>
          <w:szCs w:val="20"/>
        </w:rPr>
        <w:t xml:space="preserve">of </w:t>
      </w:r>
      <w:r w:rsidR="00F71C76" w:rsidRPr="006B29C0">
        <w:rPr>
          <w:sz w:val="20"/>
          <w:szCs w:val="20"/>
        </w:rPr>
        <w:t xml:space="preserve">implementation </w:t>
      </w:r>
      <w:r w:rsidR="003B6859" w:rsidRPr="006B29C0">
        <w:rPr>
          <w:sz w:val="20"/>
          <w:szCs w:val="20"/>
        </w:rPr>
        <w:t>activities</w:t>
      </w:r>
      <w:r w:rsidR="00F71C76" w:rsidRPr="006B29C0">
        <w:rPr>
          <w:sz w:val="20"/>
          <w:szCs w:val="20"/>
        </w:rPr>
        <w:t>, including the short-term projects identified</w:t>
      </w:r>
    </w:p>
    <w:p w14:paraId="12E89851" w14:textId="74938A1C" w:rsidR="00531E28" w:rsidRPr="006B29C0" w:rsidRDefault="00C0787C" w:rsidP="003864BF">
      <w:pPr>
        <w:pStyle w:val="ListParagraph"/>
        <w:numPr>
          <w:ilvl w:val="0"/>
          <w:numId w:val="5"/>
        </w:numPr>
        <w:spacing w:before="120" w:after="120" w:line="300" w:lineRule="atLeast"/>
        <w:rPr>
          <w:sz w:val="20"/>
          <w:szCs w:val="20"/>
        </w:rPr>
      </w:pPr>
      <w:r w:rsidRPr="006B29C0">
        <w:rPr>
          <w:sz w:val="20"/>
          <w:szCs w:val="20"/>
        </w:rPr>
        <w:t>Providing support</w:t>
      </w:r>
      <w:r w:rsidR="00AE0454" w:rsidRPr="006B29C0">
        <w:rPr>
          <w:sz w:val="20"/>
          <w:szCs w:val="20"/>
        </w:rPr>
        <w:t xml:space="preserve"> and </w:t>
      </w:r>
      <w:r w:rsidR="00EC66D4" w:rsidRPr="006B29C0">
        <w:rPr>
          <w:sz w:val="20"/>
          <w:szCs w:val="20"/>
        </w:rPr>
        <w:t>input into the development of mechanism</w:t>
      </w:r>
      <w:r w:rsidR="007824E9" w:rsidRPr="006B29C0">
        <w:rPr>
          <w:sz w:val="20"/>
          <w:szCs w:val="20"/>
        </w:rPr>
        <w:t>s</w:t>
      </w:r>
      <w:r w:rsidR="00EC66D4" w:rsidRPr="006B29C0">
        <w:rPr>
          <w:sz w:val="20"/>
          <w:szCs w:val="20"/>
        </w:rPr>
        <w:t xml:space="preserve"> that will facilitate </w:t>
      </w:r>
      <w:r w:rsidR="00AC6502" w:rsidRPr="006B29C0">
        <w:rPr>
          <w:sz w:val="20"/>
          <w:szCs w:val="20"/>
        </w:rPr>
        <w:t xml:space="preserve">a collaborative regional </w:t>
      </w:r>
      <w:r w:rsidR="00531E28" w:rsidRPr="006B29C0">
        <w:rPr>
          <w:sz w:val="20"/>
          <w:szCs w:val="20"/>
        </w:rPr>
        <w:t xml:space="preserve">planning </w:t>
      </w:r>
      <w:r w:rsidR="00AC6502" w:rsidRPr="006B29C0">
        <w:rPr>
          <w:sz w:val="20"/>
          <w:szCs w:val="20"/>
        </w:rPr>
        <w:t xml:space="preserve">approach </w:t>
      </w:r>
      <w:r w:rsidR="00F419DB" w:rsidRPr="006B29C0">
        <w:rPr>
          <w:sz w:val="20"/>
          <w:szCs w:val="20"/>
        </w:rPr>
        <w:t>such as</w:t>
      </w:r>
    </w:p>
    <w:p w14:paraId="5B2659EB" w14:textId="6ADC3E67" w:rsidR="00F93693" w:rsidRPr="006B29C0" w:rsidRDefault="00F93693" w:rsidP="00F93693">
      <w:pPr>
        <w:pStyle w:val="ListParagraph"/>
        <w:numPr>
          <w:ilvl w:val="1"/>
          <w:numId w:val="5"/>
        </w:numPr>
        <w:spacing w:before="120" w:after="120" w:line="300" w:lineRule="atLeast"/>
        <w:rPr>
          <w:sz w:val="20"/>
          <w:szCs w:val="20"/>
        </w:rPr>
      </w:pPr>
      <w:r w:rsidRPr="006B29C0">
        <w:rPr>
          <w:sz w:val="20"/>
          <w:szCs w:val="20"/>
        </w:rPr>
        <w:t>Establishment of criteria for determin</w:t>
      </w:r>
      <w:r w:rsidR="00F462DC" w:rsidRPr="006B29C0">
        <w:rPr>
          <w:sz w:val="20"/>
          <w:szCs w:val="20"/>
        </w:rPr>
        <w:t>in</w:t>
      </w:r>
      <w:r w:rsidRPr="006B29C0">
        <w:rPr>
          <w:sz w:val="20"/>
          <w:szCs w:val="20"/>
        </w:rPr>
        <w:t>g facility priorities</w:t>
      </w:r>
    </w:p>
    <w:p w14:paraId="7EFC3266" w14:textId="6E7D863F" w:rsidR="00F93693" w:rsidRPr="006B29C0" w:rsidRDefault="00F93693" w:rsidP="00F93693">
      <w:pPr>
        <w:pStyle w:val="ListParagraph"/>
        <w:numPr>
          <w:ilvl w:val="1"/>
          <w:numId w:val="5"/>
        </w:numPr>
        <w:spacing w:before="120" w:after="120" w:line="300" w:lineRule="atLeast"/>
        <w:rPr>
          <w:sz w:val="20"/>
          <w:szCs w:val="20"/>
        </w:rPr>
      </w:pPr>
      <w:r w:rsidRPr="006B29C0">
        <w:rPr>
          <w:sz w:val="20"/>
          <w:szCs w:val="20"/>
        </w:rPr>
        <w:t>Regional funding approaches</w:t>
      </w:r>
    </w:p>
    <w:p w14:paraId="6094107A" w14:textId="6BF01A75" w:rsidR="00F462DC" w:rsidRPr="006B29C0" w:rsidRDefault="00F462DC" w:rsidP="00F93693">
      <w:pPr>
        <w:pStyle w:val="ListParagraph"/>
        <w:numPr>
          <w:ilvl w:val="1"/>
          <w:numId w:val="5"/>
        </w:numPr>
        <w:spacing w:before="120" w:after="120" w:line="300" w:lineRule="atLeast"/>
        <w:rPr>
          <w:sz w:val="20"/>
          <w:szCs w:val="20"/>
        </w:rPr>
      </w:pPr>
      <w:r w:rsidRPr="006B29C0">
        <w:rPr>
          <w:sz w:val="20"/>
          <w:szCs w:val="20"/>
        </w:rPr>
        <w:t>Project asses</w:t>
      </w:r>
      <w:r w:rsidR="00F14276" w:rsidRPr="006B29C0">
        <w:rPr>
          <w:sz w:val="20"/>
          <w:szCs w:val="20"/>
        </w:rPr>
        <w:t>s</w:t>
      </w:r>
      <w:r w:rsidRPr="006B29C0">
        <w:rPr>
          <w:sz w:val="20"/>
          <w:szCs w:val="20"/>
        </w:rPr>
        <w:t>ment processes</w:t>
      </w:r>
    </w:p>
    <w:p w14:paraId="4F24230D" w14:textId="46843424" w:rsidR="00531E28" w:rsidRPr="006B29C0" w:rsidRDefault="004676C4" w:rsidP="003864BF">
      <w:pPr>
        <w:pStyle w:val="ListParagraph"/>
        <w:numPr>
          <w:ilvl w:val="0"/>
          <w:numId w:val="5"/>
        </w:numPr>
        <w:spacing w:before="120" w:after="120" w:line="300" w:lineRule="atLeast"/>
        <w:rPr>
          <w:sz w:val="20"/>
          <w:szCs w:val="20"/>
        </w:rPr>
      </w:pPr>
      <w:r w:rsidRPr="006B29C0">
        <w:rPr>
          <w:sz w:val="20"/>
          <w:szCs w:val="20"/>
        </w:rPr>
        <w:t>Review</w:t>
      </w:r>
      <w:r w:rsidR="00271400" w:rsidRPr="006B29C0">
        <w:rPr>
          <w:sz w:val="20"/>
          <w:szCs w:val="20"/>
        </w:rPr>
        <w:t>ing</w:t>
      </w:r>
      <w:r w:rsidR="0026251F" w:rsidRPr="006B29C0">
        <w:rPr>
          <w:sz w:val="20"/>
          <w:szCs w:val="20"/>
        </w:rPr>
        <w:t xml:space="preserve"> the strategy.</w:t>
      </w:r>
    </w:p>
    <w:p w14:paraId="68219AF7" w14:textId="1F5FF4FD" w:rsidR="0026251F" w:rsidRDefault="00E46CA7" w:rsidP="003864BF">
      <w:pPr>
        <w:spacing w:before="120" w:after="120" w:line="300" w:lineRule="atLeast"/>
        <w:rPr>
          <w:sz w:val="20"/>
          <w:szCs w:val="20"/>
        </w:rPr>
      </w:pPr>
      <w:r w:rsidRPr="006B29C0">
        <w:rPr>
          <w:sz w:val="20"/>
          <w:szCs w:val="20"/>
        </w:rPr>
        <w:t xml:space="preserve">The steering group will comprise </w:t>
      </w:r>
      <w:r w:rsidR="00FC7B32" w:rsidRPr="006B29C0">
        <w:rPr>
          <w:sz w:val="20"/>
          <w:szCs w:val="20"/>
        </w:rPr>
        <w:t xml:space="preserve">predominantly council representatives </w:t>
      </w:r>
      <w:r w:rsidR="006A47E7" w:rsidRPr="006B29C0">
        <w:rPr>
          <w:sz w:val="20"/>
          <w:szCs w:val="20"/>
        </w:rPr>
        <w:t>but will also reflect other stakeholder interests including funders and sector groups.</w:t>
      </w:r>
    </w:p>
    <w:p w14:paraId="5F158CAD" w14:textId="77777777" w:rsidR="0026251F" w:rsidRDefault="0026251F" w:rsidP="003864BF">
      <w:pPr>
        <w:spacing w:before="120" w:after="120" w:line="300" w:lineRule="atLeast"/>
      </w:pPr>
    </w:p>
    <w:p w14:paraId="417462BE" w14:textId="77777777" w:rsidR="0026251F" w:rsidRDefault="0026251F" w:rsidP="003864BF">
      <w:pPr>
        <w:spacing w:before="120" w:after="120" w:line="300" w:lineRule="atLeast"/>
      </w:pPr>
    </w:p>
    <w:p w14:paraId="3B2F65E2" w14:textId="77777777" w:rsidR="006A47E7" w:rsidRDefault="006A47E7" w:rsidP="0021184C">
      <w:pPr>
        <w:spacing w:after="120" w:line="300" w:lineRule="atLeast"/>
      </w:pPr>
    </w:p>
    <w:p w14:paraId="58783F95" w14:textId="77777777" w:rsidR="0021184C" w:rsidRDefault="0021184C">
      <w:pPr>
        <w:rPr>
          <w:rFonts w:ascii="Arial Rounded MT Bold" w:hAnsi="Arial Rounded MT Bold"/>
          <w:color w:val="2E74B5" w:themeColor="accent5" w:themeShade="BF"/>
          <w:sz w:val="44"/>
          <w:szCs w:val="44"/>
        </w:rPr>
      </w:pPr>
      <w:r>
        <w:rPr>
          <w:rFonts w:ascii="Arial Rounded MT Bold" w:hAnsi="Arial Rounded MT Bold"/>
          <w:color w:val="2E74B5" w:themeColor="accent5" w:themeShade="BF"/>
          <w:sz w:val="44"/>
          <w:szCs w:val="44"/>
        </w:rPr>
        <w:br w:type="page"/>
      </w:r>
    </w:p>
    <w:p w14:paraId="5CCC1258" w14:textId="5E756388" w:rsidR="005D08D3" w:rsidRPr="005D787D" w:rsidRDefault="007B61A7" w:rsidP="005D787D">
      <w:pPr>
        <w:pBdr>
          <w:bottom w:val="single" w:sz="4" w:space="1" w:color="auto"/>
        </w:pBdr>
        <w:spacing w:after="120" w:line="300" w:lineRule="atLeast"/>
        <w:rPr>
          <w:rFonts w:ascii="Arial Rounded MT Bold" w:hAnsi="Arial Rounded MT Bold"/>
          <w:color w:val="2E74B5" w:themeColor="accent5" w:themeShade="BF"/>
          <w:sz w:val="44"/>
          <w:szCs w:val="44"/>
        </w:rPr>
      </w:pPr>
      <w:r w:rsidRPr="005D787D">
        <w:rPr>
          <w:rFonts w:ascii="Arial Rounded MT Bold" w:hAnsi="Arial Rounded MT Bold"/>
          <w:color w:val="2E74B5" w:themeColor="accent5" w:themeShade="BF"/>
          <w:sz w:val="44"/>
          <w:szCs w:val="44"/>
        </w:rPr>
        <w:lastRenderedPageBreak/>
        <w:t>SPACES AND PLACES PLANNING PRINCIPLES</w:t>
      </w:r>
    </w:p>
    <w:p w14:paraId="12A355CE" w14:textId="789290D2" w:rsidR="0025498B" w:rsidRPr="007B61A7" w:rsidRDefault="007B61A7" w:rsidP="005D08D3">
      <w:pPr>
        <w:spacing w:before="120" w:after="120" w:line="300" w:lineRule="atLeast"/>
        <w:rPr>
          <w:rFonts w:cstheme="minorHAnsi"/>
          <w:sz w:val="20"/>
          <w:szCs w:val="20"/>
        </w:rPr>
      </w:pPr>
      <w:r w:rsidRPr="007B61A7">
        <w:rPr>
          <w:rFonts w:cstheme="minorHAnsi"/>
          <w:sz w:val="20"/>
          <w:szCs w:val="20"/>
        </w:rPr>
        <w:t>The planning principles underpin our desired overall approach to managing the facility network which is about adopting an evidence and needs-based approach to decision-making.</w:t>
      </w:r>
      <w:r w:rsidR="009E7C45">
        <w:rPr>
          <w:rFonts w:cstheme="minorHAnsi"/>
          <w:sz w:val="20"/>
          <w:szCs w:val="20"/>
        </w:rPr>
        <w:t xml:space="preserve"> </w:t>
      </w:r>
      <w:r w:rsidR="00033A5C">
        <w:rPr>
          <w:rFonts w:cstheme="minorHAnsi"/>
          <w:sz w:val="20"/>
          <w:szCs w:val="20"/>
        </w:rPr>
        <w:t xml:space="preserve">These principles can be applied to </w:t>
      </w:r>
      <w:r w:rsidR="00B50826">
        <w:rPr>
          <w:rFonts w:cstheme="minorHAnsi"/>
          <w:sz w:val="20"/>
          <w:szCs w:val="20"/>
        </w:rPr>
        <w:t>all facility de</w:t>
      </w:r>
      <w:r w:rsidR="008A60D1">
        <w:rPr>
          <w:rFonts w:cstheme="minorHAnsi"/>
          <w:sz w:val="20"/>
          <w:szCs w:val="20"/>
        </w:rPr>
        <w:t>cisi</w:t>
      </w:r>
      <w:r w:rsidR="00B50826">
        <w:rPr>
          <w:rFonts w:cstheme="minorHAnsi"/>
          <w:sz w:val="20"/>
          <w:szCs w:val="20"/>
        </w:rPr>
        <w:t>on-making processes.</w:t>
      </w:r>
    </w:p>
    <w:tbl>
      <w:tblPr>
        <w:tblStyle w:val="ListTable1Light-Accent5"/>
        <w:tblW w:w="0" w:type="auto"/>
        <w:tblLook w:val="04A0" w:firstRow="1" w:lastRow="0" w:firstColumn="1" w:lastColumn="0" w:noHBand="0" w:noVBand="1"/>
      </w:tblPr>
      <w:tblGrid>
        <w:gridCol w:w="3114"/>
        <w:gridCol w:w="11446"/>
      </w:tblGrid>
      <w:tr w:rsidR="002338EE" w:rsidRPr="005D08D3" w14:paraId="0A79CA78" w14:textId="77777777" w:rsidTr="00233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6457F61" w14:textId="27CC29F0" w:rsidR="002338EE" w:rsidRPr="002338EE" w:rsidRDefault="002338EE" w:rsidP="002338EE">
            <w:pPr>
              <w:spacing w:before="120" w:after="120" w:line="240" w:lineRule="atLeast"/>
              <w:rPr>
                <w:rFonts w:cstheme="minorHAnsi"/>
                <w:sz w:val="20"/>
                <w:szCs w:val="20"/>
              </w:rPr>
            </w:pPr>
            <w:r w:rsidRPr="002338EE">
              <w:rPr>
                <w:rFonts w:cstheme="minorHAnsi"/>
                <w:sz w:val="20"/>
                <w:szCs w:val="20"/>
              </w:rPr>
              <w:t>PRINCIPLE</w:t>
            </w:r>
          </w:p>
        </w:tc>
        <w:tc>
          <w:tcPr>
            <w:tcW w:w="11446" w:type="dxa"/>
          </w:tcPr>
          <w:p w14:paraId="03345A53" w14:textId="21EE81C6" w:rsidR="002338EE" w:rsidRPr="005D08D3" w:rsidRDefault="002338EE" w:rsidP="002338EE">
            <w:pPr>
              <w:spacing w:before="120" w:after="120" w:line="240" w:lineRule="atLeast"/>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EXPLANATION</w:t>
            </w:r>
          </w:p>
        </w:tc>
      </w:tr>
      <w:tr w:rsidR="005D08D3" w:rsidRPr="005D08D3" w14:paraId="0E73637A" w14:textId="77777777" w:rsidTr="0023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0128B5" w14:textId="5D6D03B6" w:rsidR="005D08D3" w:rsidRPr="002338EE" w:rsidRDefault="005D08D3" w:rsidP="002338EE">
            <w:pPr>
              <w:spacing w:before="120" w:after="120" w:line="240" w:lineRule="atLeast"/>
              <w:rPr>
                <w:rFonts w:cstheme="minorHAnsi"/>
                <w:b w:val="0"/>
                <w:bCs w:val="0"/>
                <w:sz w:val="20"/>
                <w:szCs w:val="20"/>
              </w:rPr>
            </w:pPr>
            <w:r w:rsidRPr="002338EE">
              <w:rPr>
                <w:rFonts w:cstheme="minorHAnsi"/>
                <w:b w:val="0"/>
                <w:bCs w:val="0"/>
                <w:sz w:val="20"/>
                <w:szCs w:val="20"/>
              </w:rPr>
              <w:t>MEETING AN IDENTIFIED NEED</w:t>
            </w:r>
          </w:p>
        </w:tc>
        <w:tc>
          <w:tcPr>
            <w:tcW w:w="11446" w:type="dxa"/>
          </w:tcPr>
          <w:p w14:paraId="02839EE5" w14:textId="3A3454C7" w:rsidR="005D08D3" w:rsidRPr="005D08D3" w:rsidRDefault="005D08D3" w:rsidP="002338EE">
            <w:pPr>
              <w:spacing w:before="120" w:after="120" w:line="240" w:lineRule="atLeast"/>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D08D3">
              <w:rPr>
                <w:rFonts w:cstheme="minorHAnsi"/>
                <w:sz w:val="20"/>
                <w:szCs w:val="20"/>
              </w:rPr>
              <w:t>Facilities should meet an identified need and be fit-for-purpose. There is often insufficient rigour applied to this fundamental question. The best outcomes are achieved when all the potential facility users are identified, and a deep understanding gained of their range of needs. This will also ensure that there is a community return on investment – measured both socially and economically.</w:t>
            </w:r>
          </w:p>
        </w:tc>
      </w:tr>
      <w:tr w:rsidR="005D08D3" w:rsidRPr="005D08D3" w14:paraId="7F894DC5" w14:textId="77777777" w:rsidTr="002338EE">
        <w:tc>
          <w:tcPr>
            <w:cnfStyle w:val="001000000000" w:firstRow="0" w:lastRow="0" w:firstColumn="1" w:lastColumn="0" w:oddVBand="0" w:evenVBand="0" w:oddHBand="0" w:evenHBand="0" w:firstRowFirstColumn="0" w:firstRowLastColumn="0" w:lastRowFirstColumn="0" w:lastRowLastColumn="0"/>
            <w:tcW w:w="3114" w:type="dxa"/>
          </w:tcPr>
          <w:p w14:paraId="7BBC0035" w14:textId="2061CA82" w:rsidR="005D08D3" w:rsidRPr="005D08D3" w:rsidRDefault="005D08D3" w:rsidP="002338EE">
            <w:pPr>
              <w:spacing w:before="120" w:after="120" w:line="240" w:lineRule="atLeast"/>
              <w:rPr>
                <w:rFonts w:cstheme="minorHAnsi"/>
                <w:b w:val="0"/>
                <w:bCs w:val="0"/>
                <w:sz w:val="20"/>
                <w:szCs w:val="20"/>
              </w:rPr>
            </w:pPr>
            <w:r w:rsidRPr="005D08D3">
              <w:rPr>
                <w:rFonts w:cstheme="minorHAnsi"/>
                <w:b w:val="0"/>
                <w:bCs w:val="0"/>
                <w:sz w:val="20"/>
                <w:szCs w:val="20"/>
              </w:rPr>
              <w:t>SUSTAINABILITY</w:t>
            </w:r>
          </w:p>
        </w:tc>
        <w:tc>
          <w:tcPr>
            <w:tcW w:w="11446" w:type="dxa"/>
          </w:tcPr>
          <w:p w14:paraId="7660EDA2" w14:textId="38584D98" w:rsidR="005D08D3" w:rsidRPr="005D08D3" w:rsidRDefault="005D08D3" w:rsidP="002338EE">
            <w:pPr>
              <w:spacing w:before="120" w:after="120"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D08D3">
              <w:rPr>
                <w:rFonts w:cstheme="minorHAnsi"/>
                <w:sz w:val="20"/>
                <w:szCs w:val="20"/>
              </w:rPr>
              <w:t>Facility sustainability requires consideration of the ongoing operating and maintenance costs of the facility and how these will be funded. The best outcomes are achieved when the ‘whole of life’ costs of the facility are considered at the outset and how it is intended that these costs will be met. Often, upfront investment in, for example, facility features that enable greater energy efficiency, can deliver huge dividends over the life of the facility.</w:t>
            </w:r>
          </w:p>
        </w:tc>
      </w:tr>
      <w:tr w:rsidR="005D08D3" w:rsidRPr="005D08D3" w14:paraId="43FDE429" w14:textId="77777777" w:rsidTr="0023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796A63" w14:textId="1B4043F5" w:rsidR="005D08D3" w:rsidRPr="005D08D3" w:rsidRDefault="005D08D3" w:rsidP="002338EE">
            <w:pPr>
              <w:spacing w:before="120" w:after="120" w:line="240" w:lineRule="atLeast"/>
              <w:rPr>
                <w:rFonts w:cstheme="minorHAnsi"/>
                <w:b w:val="0"/>
                <w:bCs w:val="0"/>
                <w:sz w:val="20"/>
                <w:szCs w:val="20"/>
              </w:rPr>
            </w:pPr>
            <w:r>
              <w:rPr>
                <w:rFonts w:cstheme="minorHAnsi"/>
                <w:b w:val="0"/>
                <w:bCs w:val="0"/>
                <w:sz w:val="20"/>
                <w:szCs w:val="20"/>
              </w:rPr>
              <w:t>COLLABORATION</w:t>
            </w:r>
          </w:p>
        </w:tc>
        <w:tc>
          <w:tcPr>
            <w:tcW w:w="11446" w:type="dxa"/>
          </w:tcPr>
          <w:p w14:paraId="39F3407E" w14:textId="594E77B8" w:rsidR="005D08D3" w:rsidRPr="005D08D3" w:rsidRDefault="005D08D3" w:rsidP="002338EE">
            <w:pPr>
              <w:spacing w:before="120" w:after="120" w:line="240" w:lineRule="atLeast"/>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D08D3">
              <w:rPr>
                <w:rFonts w:cstheme="minorHAnsi"/>
                <w:sz w:val="20"/>
                <w:szCs w:val="20"/>
              </w:rPr>
              <w:t>Historically sports facilities have tended to be planned and built in isolation. This has led to over-provision and duplication. The best outcomes are achieved when partnerships are developed with education, health, Iwi, and/or the private sector. This increases the likelihood that facilities will be used to their full potential, maximising the return on investment and utilisation.</w:t>
            </w:r>
          </w:p>
        </w:tc>
      </w:tr>
      <w:tr w:rsidR="005D08D3" w:rsidRPr="005D08D3" w14:paraId="4CCEBE33" w14:textId="77777777" w:rsidTr="002338EE">
        <w:tc>
          <w:tcPr>
            <w:cnfStyle w:val="001000000000" w:firstRow="0" w:lastRow="0" w:firstColumn="1" w:lastColumn="0" w:oddVBand="0" w:evenVBand="0" w:oddHBand="0" w:evenHBand="0" w:firstRowFirstColumn="0" w:firstRowLastColumn="0" w:lastRowFirstColumn="0" w:lastRowLastColumn="0"/>
            <w:tcW w:w="3114" w:type="dxa"/>
          </w:tcPr>
          <w:p w14:paraId="7E26D02F" w14:textId="793BA25A" w:rsidR="005D08D3" w:rsidRPr="005D08D3" w:rsidRDefault="005D08D3" w:rsidP="002338EE">
            <w:pPr>
              <w:spacing w:before="120" w:after="120" w:line="240" w:lineRule="atLeast"/>
              <w:rPr>
                <w:rFonts w:cstheme="minorHAnsi"/>
                <w:b w:val="0"/>
                <w:bCs w:val="0"/>
                <w:sz w:val="20"/>
                <w:szCs w:val="20"/>
              </w:rPr>
            </w:pPr>
            <w:r w:rsidRPr="005D08D3">
              <w:rPr>
                <w:rFonts w:cstheme="minorHAnsi"/>
                <w:b w:val="0"/>
                <w:bCs w:val="0"/>
                <w:sz w:val="20"/>
                <w:szCs w:val="20"/>
              </w:rPr>
              <w:t>FLEXIBILITY</w:t>
            </w:r>
          </w:p>
        </w:tc>
        <w:tc>
          <w:tcPr>
            <w:tcW w:w="11446" w:type="dxa"/>
          </w:tcPr>
          <w:p w14:paraId="320D8C5E" w14:textId="35ECD008" w:rsidR="005D08D3" w:rsidRPr="005D08D3" w:rsidRDefault="005D08D3" w:rsidP="002338EE">
            <w:pPr>
              <w:spacing w:before="120" w:after="120"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D08D3">
              <w:rPr>
                <w:rFonts w:cstheme="minorHAnsi"/>
                <w:sz w:val="20"/>
                <w:szCs w:val="20"/>
              </w:rPr>
              <w:t>No one can predict the future, but what we can predict is that things will change. Facilities should be designed to accommodate changing community profiles and associated sporting trends and needs over time. The best, long-term, outcomes are achieved by designing facilities in ways that enable them to be adapted, developed and extended in response to future demands</w:t>
            </w:r>
          </w:p>
        </w:tc>
      </w:tr>
      <w:tr w:rsidR="005D08D3" w:rsidRPr="005D08D3" w14:paraId="04423A3D" w14:textId="77777777" w:rsidTr="002338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2639261" w14:textId="0BF5A579" w:rsidR="005D08D3" w:rsidRPr="005D08D3" w:rsidRDefault="005D08D3" w:rsidP="002338EE">
            <w:pPr>
              <w:spacing w:before="120" w:after="120" w:line="240" w:lineRule="atLeast"/>
              <w:rPr>
                <w:rFonts w:cstheme="minorHAnsi"/>
                <w:b w:val="0"/>
                <w:bCs w:val="0"/>
                <w:sz w:val="20"/>
                <w:szCs w:val="20"/>
              </w:rPr>
            </w:pPr>
            <w:r w:rsidRPr="005D08D3">
              <w:rPr>
                <w:rFonts w:cstheme="minorHAnsi"/>
                <w:b w:val="0"/>
                <w:bCs w:val="0"/>
                <w:sz w:val="20"/>
                <w:szCs w:val="20"/>
              </w:rPr>
              <w:t>INTEGRATION AND MULTI-USE</w:t>
            </w:r>
          </w:p>
        </w:tc>
        <w:tc>
          <w:tcPr>
            <w:tcW w:w="11446" w:type="dxa"/>
          </w:tcPr>
          <w:p w14:paraId="30F363A3" w14:textId="59B84AC7" w:rsidR="005D08D3" w:rsidRPr="005D08D3" w:rsidRDefault="005D08D3" w:rsidP="002338EE">
            <w:pPr>
              <w:spacing w:before="120" w:after="120" w:line="240" w:lineRule="atLeast"/>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D08D3">
              <w:rPr>
                <w:rFonts w:cstheme="minorHAnsi"/>
                <w:sz w:val="20"/>
                <w:szCs w:val="20"/>
              </w:rPr>
              <w:t>Facilities need to be fit-for-purpose, and sustainable. The best outcomes are achieved by sharing. Creating multiuse facilities or hubs, or co-locating with other sport and recreation, community, education, or transport facilities and infrastructure is an effective approach</w:t>
            </w:r>
          </w:p>
        </w:tc>
      </w:tr>
      <w:tr w:rsidR="005D08D3" w:rsidRPr="005D08D3" w14:paraId="514967AE" w14:textId="77777777" w:rsidTr="002338EE">
        <w:tc>
          <w:tcPr>
            <w:cnfStyle w:val="001000000000" w:firstRow="0" w:lastRow="0" w:firstColumn="1" w:lastColumn="0" w:oddVBand="0" w:evenVBand="0" w:oddHBand="0" w:evenHBand="0" w:firstRowFirstColumn="0" w:firstRowLastColumn="0" w:lastRowFirstColumn="0" w:lastRowLastColumn="0"/>
            <w:tcW w:w="3114" w:type="dxa"/>
          </w:tcPr>
          <w:p w14:paraId="7BC0D75A" w14:textId="66A13A8F" w:rsidR="005D08D3" w:rsidRPr="005D08D3" w:rsidRDefault="005D08D3" w:rsidP="002338EE">
            <w:pPr>
              <w:spacing w:before="120" w:after="120" w:line="240" w:lineRule="atLeast"/>
              <w:rPr>
                <w:rFonts w:cstheme="minorHAnsi"/>
                <w:b w:val="0"/>
                <w:bCs w:val="0"/>
                <w:sz w:val="20"/>
                <w:szCs w:val="20"/>
              </w:rPr>
            </w:pPr>
            <w:r w:rsidRPr="005D08D3">
              <w:rPr>
                <w:rFonts w:cstheme="minorHAnsi"/>
                <w:b w:val="0"/>
                <w:bCs w:val="0"/>
                <w:sz w:val="20"/>
                <w:szCs w:val="20"/>
              </w:rPr>
              <w:t>INCLUSIVE AND EQUITABLE ACCESS</w:t>
            </w:r>
          </w:p>
        </w:tc>
        <w:tc>
          <w:tcPr>
            <w:tcW w:w="11446" w:type="dxa"/>
          </w:tcPr>
          <w:p w14:paraId="30128372" w14:textId="28B8AA08" w:rsidR="005D08D3" w:rsidRPr="005D08D3" w:rsidRDefault="005D08D3" w:rsidP="002338EE">
            <w:pPr>
              <w:spacing w:before="120" w:after="120" w:line="240" w:lineRule="atLeast"/>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D08D3">
              <w:rPr>
                <w:rFonts w:cstheme="minorHAnsi"/>
                <w:sz w:val="20"/>
                <w:szCs w:val="20"/>
              </w:rPr>
              <w:t>Experience shows, that while society is generally more inclusive, barriers remain for many in accessing sport, recreation and physical activity pursuits. To ensure all members of the region’s community have equitable access to and opportunity for participation requires us to consider the needs of a wide range of our community when making decisions. Focus should be given to ethnic, financial and ability barriers including but not limited to age and disability.</w:t>
            </w:r>
          </w:p>
        </w:tc>
      </w:tr>
    </w:tbl>
    <w:p w14:paraId="532F190F" w14:textId="7645D2B5" w:rsidR="002338EE" w:rsidRDefault="002338EE" w:rsidP="002338EE">
      <w:pPr>
        <w:spacing w:before="120" w:line="240" w:lineRule="atLeast"/>
        <w:jc w:val="both"/>
        <w:rPr>
          <w:rFonts w:ascii="Arial Rounded MT Bold" w:hAnsi="Arial Rounded MT Bold"/>
          <w:color w:val="2F5496" w:themeColor="accent1" w:themeShade="BF"/>
          <w:sz w:val="20"/>
          <w:szCs w:val="20"/>
        </w:rPr>
      </w:pPr>
    </w:p>
    <w:p w14:paraId="6FB14F81" w14:textId="77777777" w:rsidR="002338EE" w:rsidRDefault="002338EE">
      <w:pPr>
        <w:rPr>
          <w:rFonts w:ascii="Arial Rounded MT Bold" w:hAnsi="Arial Rounded MT Bold"/>
          <w:color w:val="2F5496" w:themeColor="accent1" w:themeShade="BF"/>
          <w:sz w:val="20"/>
          <w:szCs w:val="20"/>
        </w:rPr>
      </w:pPr>
      <w:r>
        <w:rPr>
          <w:rFonts w:ascii="Arial Rounded MT Bold" w:hAnsi="Arial Rounded MT Bold"/>
          <w:color w:val="2F5496" w:themeColor="accent1" w:themeShade="BF"/>
          <w:sz w:val="20"/>
          <w:szCs w:val="20"/>
        </w:rPr>
        <w:br w:type="page"/>
      </w:r>
    </w:p>
    <w:p w14:paraId="4CC847FE" w14:textId="685DA641" w:rsidR="002338EE" w:rsidRPr="002338EE" w:rsidRDefault="002338EE" w:rsidP="00E17BBE">
      <w:pPr>
        <w:pBdr>
          <w:bottom w:val="single" w:sz="4" w:space="1" w:color="auto"/>
        </w:pBdr>
        <w:rPr>
          <w:rFonts w:ascii="Arial Rounded MT Bold" w:hAnsi="Arial Rounded MT Bold"/>
          <w:color w:val="2F5496" w:themeColor="accent1" w:themeShade="BF"/>
          <w:sz w:val="28"/>
          <w:szCs w:val="28"/>
        </w:rPr>
      </w:pPr>
      <w:r w:rsidRPr="002338EE">
        <w:rPr>
          <w:rFonts w:ascii="Arial Rounded MT Bold" w:hAnsi="Arial Rounded MT Bold"/>
          <w:color w:val="2F5496" w:themeColor="accent1" w:themeShade="BF"/>
          <w:sz w:val="28"/>
          <w:szCs w:val="28"/>
        </w:rPr>
        <w:lastRenderedPageBreak/>
        <w:t>Appendix 1:</w:t>
      </w:r>
      <w:r>
        <w:rPr>
          <w:rFonts w:ascii="Arial Rounded MT Bold" w:hAnsi="Arial Rounded MT Bold"/>
          <w:color w:val="2F5496" w:themeColor="accent1" w:themeShade="BF"/>
          <w:sz w:val="28"/>
          <w:szCs w:val="28"/>
        </w:rPr>
        <w:t xml:space="preserve"> </w:t>
      </w:r>
      <w:r w:rsidRPr="002338EE">
        <w:rPr>
          <w:rFonts w:ascii="Arial Rounded MT Bold" w:hAnsi="Arial Rounded MT Bold"/>
          <w:color w:val="2F5496" w:themeColor="accent1" w:themeShade="BF"/>
          <w:sz w:val="28"/>
          <w:szCs w:val="28"/>
        </w:rPr>
        <w:t>Spaces and Places Facility Development Lifecycle</w:t>
      </w:r>
    </w:p>
    <w:p w14:paraId="295320F7" w14:textId="1339CEF2" w:rsidR="002338EE" w:rsidRPr="002338EE" w:rsidRDefault="002338EE" w:rsidP="002338EE">
      <w:pPr>
        <w:spacing w:before="120" w:after="120" w:line="300" w:lineRule="atLeast"/>
        <w:rPr>
          <w:rFonts w:cstheme="minorHAnsi"/>
          <w:sz w:val="20"/>
          <w:szCs w:val="20"/>
        </w:rPr>
      </w:pPr>
      <w:r w:rsidRPr="002338EE">
        <w:rPr>
          <w:rFonts w:cstheme="minorHAnsi"/>
          <w:sz w:val="20"/>
          <w:szCs w:val="20"/>
        </w:rPr>
        <w:t>The New Zealand Sporting Facilities Framework also identifies a six-stage facility development lifecycle that should be applied to any facility project. Adherence to this process will ensure that better facility decisions are made. The end of each stage represents a gateway to the next stage at which a go/no go decision can be made.</w:t>
      </w:r>
    </w:p>
    <w:p w14:paraId="1C5C8AB5" w14:textId="6D39BE06" w:rsidR="00E17BBE" w:rsidRDefault="00E17BBE">
      <w:pPr>
        <w:rPr>
          <w:rFonts w:ascii="Arial Rounded MT Bold" w:hAnsi="Arial Rounded MT Bold"/>
          <w:color w:val="2F5496" w:themeColor="accent1" w:themeShade="BF"/>
          <w:sz w:val="28"/>
          <w:szCs w:val="28"/>
        </w:rPr>
      </w:pPr>
      <w:r>
        <w:rPr>
          <w:rFonts w:ascii="Arial Rounded MT Bold" w:hAnsi="Arial Rounded MT Bold"/>
          <w:noProof/>
          <w:color w:val="2F5496" w:themeColor="accent1" w:themeShade="BF"/>
          <w:sz w:val="28"/>
          <w:szCs w:val="28"/>
        </w:rPr>
        <w:drawing>
          <wp:anchor distT="0" distB="0" distL="114300" distR="114300" simplePos="0" relativeHeight="251658247" behindDoc="0" locked="0" layoutInCell="1" allowOverlap="1" wp14:anchorId="6CF1D124" wp14:editId="76E03CDF">
            <wp:simplePos x="0" y="0"/>
            <wp:positionH relativeFrom="column">
              <wp:posOffset>1689735</wp:posOffset>
            </wp:positionH>
            <wp:positionV relativeFrom="paragraph">
              <wp:posOffset>208280</wp:posOffset>
            </wp:positionV>
            <wp:extent cx="6610350" cy="4171950"/>
            <wp:effectExtent l="0" t="0" r="38100" b="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6DA07EA8" w14:textId="5E553505"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48" behindDoc="0" locked="0" layoutInCell="1" allowOverlap="1" wp14:anchorId="05DFE9A5" wp14:editId="38D34B28">
                <wp:simplePos x="0" y="0"/>
                <wp:positionH relativeFrom="column">
                  <wp:posOffset>251460</wp:posOffset>
                </wp:positionH>
                <wp:positionV relativeFrom="paragraph">
                  <wp:posOffset>132080</wp:posOffset>
                </wp:positionV>
                <wp:extent cx="1314450" cy="1404620"/>
                <wp:effectExtent l="0" t="0" r="5715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5A03C97A" w14:textId="6924A95D" w:rsidR="009E2875" w:rsidRPr="00E17BBE" w:rsidRDefault="009E2875" w:rsidP="00E17BBE">
                            <w:pPr>
                              <w:spacing w:before="120" w:after="120" w:line="300" w:lineRule="atLeast"/>
                              <w:jc w:val="center"/>
                              <w:rPr>
                                <w:b/>
                                <w:bCs/>
                              </w:rPr>
                            </w:pPr>
                            <w:r w:rsidRPr="00E17BBE">
                              <w:rPr>
                                <w:b/>
                                <w:bCs/>
                              </w:rPr>
                              <w:t>CONCEPT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DFE9A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30" type="#_x0000_t130" style="position:absolute;margin-left:19.8pt;margin-top:10.4pt;width:103.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" fillcolor="#ffe599 [1303]" strokecolor="#2e74b5 [2408]">
                <v:textbox style="mso-fit-shape-to-text:t">
                  <w:txbxContent>
                    <w:p w14:paraId="5A03C97A" w14:textId="6924A95D" w:rsidR="009E2875" w:rsidRPr="00E17BBE" w:rsidRDefault="009E2875" w:rsidP="00E17BBE">
                      <w:pPr>
                        <w:spacing w:before="120" w:after="120" w:line="300" w:lineRule="atLeast"/>
                        <w:jc w:val="center"/>
                        <w:rPr>
                          <w:b/>
                          <w:bCs/>
                        </w:rPr>
                      </w:pPr>
                      <w:r w:rsidRPr="00E17BBE">
                        <w:rPr>
                          <w:b/>
                          <w:bCs/>
                        </w:rPr>
                        <w:t>CONCEPT</w:t>
                      </w:r>
                    </w:p>
                  </w:txbxContent>
                </v:textbox>
                <w10:wrap type="square"/>
              </v:shape>
            </w:pict>
          </mc:Fallback>
        </mc:AlternateContent>
      </w:r>
    </w:p>
    <w:p w14:paraId="3408ADE4" w14:textId="22BAC54E" w:rsidR="00E17BBE" w:rsidRDefault="00E17BBE">
      <w:pPr>
        <w:rPr>
          <w:rFonts w:ascii="Arial Rounded MT Bold" w:hAnsi="Arial Rounded MT Bold"/>
          <w:color w:val="2F5496" w:themeColor="accent1" w:themeShade="BF"/>
          <w:sz w:val="28"/>
          <w:szCs w:val="28"/>
        </w:rPr>
      </w:pPr>
    </w:p>
    <w:p w14:paraId="4781C727" w14:textId="09E5D010"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49" behindDoc="0" locked="0" layoutInCell="1" allowOverlap="1" wp14:anchorId="506BB7E6" wp14:editId="1CF72143">
                <wp:simplePos x="0" y="0"/>
                <wp:positionH relativeFrom="column">
                  <wp:posOffset>247650</wp:posOffset>
                </wp:positionH>
                <wp:positionV relativeFrom="paragraph">
                  <wp:posOffset>133350</wp:posOffset>
                </wp:positionV>
                <wp:extent cx="1314450" cy="1404620"/>
                <wp:effectExtent l="0" t="0" r="57150" b="13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33381762" w14:textId="4472A361" w:rsidR="009E2875" w:rsidRPr="00E17BBE" w:rsidRDefault="009E2875" w:rsidP="00E17BBE">
                            <w:pPr>
                              <w:spacing w:before="120" w:after="120" w:line="300" w:lineRule="atLeast"/>
                              <w:jc w:val="center"/>
                              <w:rPr>
                                <w:b/>
                                <w:bCs/>
                              </w:rPr>
                            </w:pPr>
                            <w:r>
                              <w:rPr>
                                <w:b/>
                                <w:bCs/>
                              </w:rPr>
                              <w:t>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BB7E6" id="_x0000_s1031" type="#_x0000_t130" style="position:absolute;margin-left:19.5pt;margin-top:10.5pt;width:103.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" fillcolor="#ffe599 [1303]" strokecolor="#2e74b5 [2408]">
                <v:textbox style="mso-fit-shape-to-text:t">
                  <w:txbxContent>
                    <w:p w14:paraId="33381762" w14:textId="4472A361" w:rsidR="009E2875" w:rsidRPr="00E17BBE" w:rsidRDefault="009E2875" w:rsidP="00E17BBE">
                      <w:pPr>
                        <w:spacing w:before="120" w:after="120" w:line="300" w:lineRule="atLeast"/>
                        <w:jc w:val="center"/>
                        <w:rPr>
                          <w:b/>
                          <w:bCs/>
                        </w:rPr>
                      </w:pPr>
                      <w:r>
                        <w:rPr>
                          <w:b/>
                          <w:bCs/>
                        </w:rPr>
                        <w:t>PLAN</w:t>
                      </w:r>
                    </w:p>
                  </w:txbxContent>
                </v:textbox>
                <w10:wrap type="square"/>
              </v:shape>
            </w:pict>
          </mc:Fallback>
        </mc:AlternateContent>
      </w:r>
    </w:p>
    <w:p w14:paraId="241FB265" w14:textId="3498982A" w:rsidR="00E17BBE" w:rsidRDefault="00E17BBE">
      <w:pPr>
        <w:rPr>
          <w:rFonts w:ascii="Arial Rounded MT Bold" w:hAnsi="Arial Rounded MT Bold"/>
          <w:color w:val="2F5496" w:themeColor="accent1" w:themeShade="BF"/>
          <w:sz w:val="28"/>
          <w:szCs w:val="28"/>
        </w:rPr>
      </w:pPr>
    </w:p>
    <w:p w14:paraId="27F01B68" w14:textId="58095777"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50" behindDoc="0" locked="0" layoutInCell="1" allowOverlap="1" wp14:anchorId="3BF38F59" wp14:editId="4FC3D81D">
                <wp:simplePos x="0" y="0"/>
                <wp:positionH relativeFrom="column">
                  <wp:posOffset>247650</wp:posOffset>
                </wp:positionH>
                <wp:positionV relativeFrom="paragraph">
                  <wp:posOffset>133985</wp:posOffset>
                </wp:positionV>
                <wp:extent cx="1314450" cy="1404620"/>
                <wp:effectExtent l="0" t="0" r="57150" b="139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7CF28D43" w14:textId="157D2301" w:rsidR="009E2875" w:rsidRPr="00E17BBE" w:rsidRDefault="009E2875" w:rsidP="00E17BBE">
                            <w:pPr>
                              <w:spacing w:before="120" w:after="120" w:line="300" w:lineRule="atLeast"/>
                              <w:jc w:val="center"/>
                              <w:rPr>
                                <w:b/>
                                <w:bCs/>
                              </w:rPr>
                            </w:pPr>
                            <w:r>
                              <w:rPr>
                                <w:b/>
                                <w:bCs/>
                              </w:rPr>
                              <w:t>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38F59" id="_x0000_s1032" type="#_x0000_t130" style="position:absolute;margin-left:19.5pt;margin-top:10.55pt;width:103.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" fillcolor="#ffe599 [1303]" strokecolor="#2e74b5 [2408]">
                <v:textbox style="mso-fit-shape-to-text:t">
                  <w:txbxContent>
                    <w:p w14:paraId="7CF28D43" w14:textId="157D2301" w:rsidR="009E2875" w:rsidRPr="00E17BBE" w:rsidRDefault="009E2875" w:rsidP="00E17BBE">
                      <w:pPr>
                        <w:spacing w:before="120" w:after="120" w:line="300" w:lineRule="atLeast"/>
                        <w:jc w:val="center"/>
                        <w:rPr>
                          <w:b/>
                          <w:bCs/>
                        </w:rPr>
                      </w:pPr>
                      <w:r>
                        <w:rPr>
                          <w:b/>
                          <w:bCs/>
                        </w:rPr>
                        <w:t>DESIGN</w:t>
                      </w:r>
                    </w:p>
                  </w:txbxContent>
                </v:textbox>
                <w10:wrap type="square"/>
              </v:shape>
            </w:pict>
          </mc:Fallback>
        </mc:AlternateContent>
      </w:r>
    </w:p>
    <w:p w14:paraId="6E2B50AD" w14:textId="490FA19A" w:rsidR="00E17BBE" w:rsidRDefault="00E17BBE">
      <w:pPr>
        <w:rPr>
          <w:rFonts w:ascii="Arial Rounded MT Bold" w:hAnsi="Arial Rounded MT Bold"/>
          <w:color w:val="2F5496" w:themeColor="accent1" w:themeShade="BF"/>
          <w:sz w:val="28"/>
          <w:szCs w:val="28"/>
        </w:rPr>
      </w:pPr>
    </w:p>
    <w:p w14:paraId="69057262" w14:textId="12945545"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51" behindDoc="0" locked="0" layoutInCell="1" allowOverlap="1" wp14:anchorId="1430C552" wp14:editId="2746A308">
                <wp:simplePos x="0" y="0"/>
                <wp:positionH relativeFrom="column">
                  <wp:posOffset>247650</wp:posOffset>
                </wp:positionH>
                <wp:positionV relativeFrom="paragraph">
                  <wp:posOffset>136525</wp:posOffset>
                </wp:positionV>
                <wp:extent cx="1314450" cy="1404620"/>
                <wp:effectExtent l="0" t="0" r="57150"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7CB4AD3C" w14:textId="3A44645F" w:rsidR="009E2875" w:rsidRPr="00E17BBE" w:rsidRDefault="009E2875" w:rsidP="00E17BBE">
                            <w:pPr>
                              <w:spacing w:before="120" w:after="120" w:line="300" w:lineRule="atLeast"/>
                              <w:jc w:val="center"/>
                              <w:rPr>
                                <w:b/>
                                <w:bCs/>
                              </w:rPr>
                            </w:pPr>
                            <w:r>
                              <w:rPr>
                                <w:b/>
                                <w:bCs/>
                              </w:rPr>
                              <w:t>BUILD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0C552" id="_x0000_s1033" type="#_x0000_t130" style="position:absolute;margin-left:19.5pt;margin-top:10.75pt;width:103.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" fillcolor="#ffe599 [1303]" strokecolor="#2e74b5 [2408]">
                <v:textbox style="mso-fit-shape-to-text:t">
                  <w:txbxContent>
                    <w:p w14:paraId="7CB4AD3C" w14:textId="3A44645F" w:rsidR="009E2875" w:rsidRPr="00E17BBE" w:rsidRDefault="009E2875" w:rsidP="00E17BBE">
                      <w:pPr>
                        <w:spacing w:before="120" w:after="120" w:line="300" w:lineRule="atLeast"/>
                        <w:jc w:val="center"/>
                        <w:rPr>
                          <w:b/>
                          <w:bCs/>
                        </w:rPr>
                      </w:pPr>
                      <w:r>
                        <w:rPr>
                          <w:b/>
                          <w:bCs/>
                        </w:rPr>
                        <w:t>BUILD</w:t>
                      </w:r>
                    </w:p>
                  </w:txbxContent>
                </v:textbox>
                <w10:wrap type="square"/>
              </v:shape>
            </w:pict>
          </mc:Fallback>
        </mc:AlternateContent>
      </w:r>
    </w:p>
    <w:p w14:paraId="1457D70B" w14:textId="2BEBDD44" w:rsidR="00E17BBE" w:rsidRDefault="00E17BBE">
      <w:pPr>
        <w:rPr>
          <w:rFonts w:ascii="Arial Rounded MT Bold" w:hAnsi="Arial Rounded MT Bold"/>
          <w:color w:val="2F5496" w:themeColor="accent1" w:themeShade="BF"/>
          <w:sz w:val="28"/>
          <w:szCs w:val="28"/>
        </w:rPr>
      </w:pPr>
    </w:p>
    <w:p w14:paraId="4CFEAEF7" w14:textId="6D08B9CE"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52" behindDoc="0" locked="0" layoutInCell="1" allowOverlap="1" wp14:anchorId="3D1E06A2" wp14:editId="5BE94338">
                <wp:simplePos x="0" y="0"/>
                <wp:positionH relativeFrom="column">
                  <wp:posOffset>247650</wp:posOffset>
                </wp:positionH>
                <wp:positionV relativeFrom="paragraph">
                  <wp:posOffset>139065</wp:posOffset>
                </wp:positionV>
                <wp:extent cx="1314450" cy="1404620"/>
                <wp:effectExtent l="0" t="0" r="5715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6CCB760A" w14:textId="7FE70A98" w:rsidR="009E2875" w:rsidRPr="00E17BBE" w:rsidRDefault="009E2875" w:rsidP="00E17BBE">
                            <w:pPr>
                              <w:spacing w:before="120" w:after="120" w:line="300" w:lineRule="atLeast"/>
                              <w:jc w:val="center"/>
                              <w:rPr>
                                <w:b/>
                                <w:bCs/>
                              </w:rPr>
                            </w:pPr>
                            <w:r>
                              <w:rPr>
                                <w:b/>
                                <w:bCs/>
                              </w:rPr>
                              <w:t>OPERATE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E06A2" id="_x0000_s1034" type="#_x0000_t130" style="position:absolute;margin-left:19.5pt;margin-top:10.95pt;width:103.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" fillcolor="#ffe599 [1303]" strokecolor="#2e74b5 [2408]">
                <v:textbox style="mso-fit-shape-to-text:t">
                  <w:txbxContent>
                    <w:p w14:paraId="6CCB760A" w14:textId="7FE70A98" w:rsidR="009E2875" w:rsidRPr="00E17BBE" w:rsidRDefault="009E2875" w:rsidP="00E17BBE">
                      <w:pPr>
                        <w:spacing w:before="120" w:after="120" w:line="300" w:lineRule="atLeast"/>
                        <w:jc w:val="center"/>
                        <w:rPr>
                          <w:b/>
                          <w:bCs/>
                        </w:rPr>
                      </w:pPr>
                      <w:r>
                        <w:rPr>
                          <w:b/>
                          <w:bCs/>
                        </w:rPr>
                        <w:t>OPERATE</w:t>
                      </w:r>
                    </w:p>
                  </w:txbxContent>
                </v:textbox>
                <w10:wrap type="square"/>
              </v:shape>
            </w:pict>
          </mc:Fallback>
        </mc:AlternateContent>
      </w:r>
    </w:p>
    <w:p w14:paraId="2E47078D" w14:textId="01672525" w:rsidR="00E17BBE" w:rsidRDefault="00E17BBE">
      <w:pPr>
        <w:rPr>
          <w:rFonts w:ascii="Arial Rounded MT Bold" w:hAnsi="Arial Rounded MT Bold"/>
          <w:color w:val="2F5496" w:themeColor="accent1" w:themeShade="BF"/>
          <w:sz w:val="28"/>
          <w:szCs w:val="28"/>
        </w:rPr>
      </w:pPr>
    </w:p>
    <w:p w14:paraId="7D9F27C1" w14:textId="10DE0CAD" w:rsidR="00E17BBE" w:rsidRDefault="00E17BBE">
      <w:pPr>
        <w:rPr>
          <w:rFonts w:ascii="Arial Rounded MT Bold" w:hAnsi="Arial Rounded MT Bold"/>
          <w:color w:val="2F5496" w:themeColor="accent1" w:themeShade="BF"/>
          <w:sz w:val="28"/>
          <w:szCs w:val="28"/>
        </w:rPr>
      </w:pPr>
      <w:r w:rsidRPr="00E17BBE">
        <w:rPr>
          <w:rFonts w:ascii="Arial Rounded MT Bold" w:hAnsi="Arial Rounded MT Bold"/>
          <w:noProof/>
          <w:color w:val="2F5496" w:themeColor="accent1" w:themeShade="BF"/>
          <w:sz w:val="28"/>
          <w:szCs w:val="28"/>
        </w:rPr>
        <mc:AlternateContent>
          <mc:Choice Requires="wps">
            <w:drawing>
              <wp:anchor distT="45720" distB="45720" distL="114300" distR="114300" simplePos="0" relativeHeight="251658253" behindDoc="0" locked="0" layoutInCell="1" allowOverlap="1" wp14:anchorId="47792FAC" wp14:editId="1EC4A8F7">
                <wp:simplePos x="0" y="0"/>
                <wp:positionH relativeFrom="column">
                  <wp:posOffset>247650</wp:posOffset>
                </wp:positionH>
                <wp:positionV relativeFrom="paragraph">
                  <wp:posOffset>145415</wp:posOffset>
                </wp:positionV>
                <wp:extent cx="1314450" cy="1404620"/>
                <wp:effectExtent l="0" t="0" r="57150"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flowChartOnlineStorage">
                          <a:avLst/>
                        </a:prstGeom>
                        <a:solidFill>
                          <a:schemeClr val="accent4">
                            <a:lumMod val="40000"/>
                            <a:lumOff val="60000"/>
                          </a:schemeClr>
                        </a:solidFill>
                        <a:ln w="9525">
                          <a:solidFill>
                            <a:schemeClr val="accent5">
                              <a:lumMod val="75000"/>
                            </a:schemeClr>
                          </a:solidFill>
                          <a:miter lim="800000"/>
                          <a:headEnd/>
                          <a:tailEnd/>
                        </a:ln>
                      </wps:spPr>
                      <wps:txbx>
                        <w:txbxContent>
                          <w:p w14:paraId="5D8E739C" w14:textId="039C1539" w:rsidR="009E2875" w:rsidRPr="00E17BBE" w:rsidRDefault="009E2875" w:rsidP="00E17BBE">
                            <w:pPr>
                              <w:spacing w:before="120" w:after="120" w:line="300" w:lineRule="atLeast"/>
                              <w:jc w:val="center"/>
                              <w:rPr>
                                <w:b/>
                                <w:bCs/>
                              </w:rPr>
                            </w:pPr>
                            <w:r>
                              <w:rPr>
                                <w:b/>
                                <w:bCs/>
                              </w:rPr>
                              <w:t>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92FAC" id="_x0000_s1035" type="#_x0000_t130" style="position:absolute;margin-left:19.5pt;margin-top:11.45pt;width:103.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" fillcolor="#ffe599 [1303]" strokecolor="#2e74b5 [2408]">
                <v:textbox style="mso-fit-shape-to-text:t">
                  <w:txbxContent>
                    <w:p w14:paraId="5D8E739C" w14:textId="039C1539" w:rsidR="009E2875" w:rsidRPr="00E17BBE" w:rsidRDefault="009E2875" w:rsidP="00E17BBE">
                      <w:pPr>
                        <w:spacing w:before="120" w:after="120" w:line="300" w:lineRule="atLeast"/>
                        <w:jc w:val="center"/>
                        <w:rPr>
                          <w:b/>
                          <w:bCs/>
                        </w:rPr>
                      </w:pPr>
                      <w:r>
                        <w:rPr>
                          <w:b/>
                          <w:bCs/>
                        </w:rPr>
                        <w:t>IMPROVE</w:t>
                      </w:r>
                    </w:p>
                  </w:txbxContent>
                </v:textbox>
                <w10:wrap type="square"/>
              </v:shape>
            </w:pict>
          </mc:Fallback>
        </mc:AlternateContent>
      </w:r>
    </w:p>
    <w:p w14:paraId="69FD341F" w14:textId="041C31C2" w:rsidR="00E17BBE" w:rsidRDefault="00E17BBE">
      <w:pPr>
        <w:rPr>
          <w:rFonts w:ascii="Arial Rounded MT Bold" w:hAnsi="Arial Rounded MT Bold"/>
          <w:color w:val="2F5496" w:themeColor="accent1" w:themeShade="BF"/>
          <w:sz w:val="28"/>
          <w:szCs w:val="28"/>
        </w:rPr>
      </w:pPr>
    </w:p>
    <w:p w14:paraId="026849B5" w14:textId="3395B218" w:rsidR="00E17BBE" w:rsidRDefault="00E17BBE">
      <w:pPr>
        <w:rPr>
          <w:rFonts w:ascii="Arial Rounded MT Bold" w:hAnsi="Arial Rounded MT Bold"/>
          <w:color w:val="2F5496" w:themeColor="accent1" w:themeShade="BF"/>
          <w:sz w:val="28"/>
          <w:szCs w:val="28"/>
        </w:rPr>
      </w:pPr>
    </w:p>
    <w:p w14:paraId="3B943660" w14:textId="41AF63B0" w:rsidR="00E17BBE" w:rsidRDefault="00E17BBE">
      <w:pPr>
        <w:rPr>
          <w:rFonts w:ascii="Arial Rounded MT Bold" w:hAnsi="Arial Rounded MT Bold"/>
          <w:color w:val="2F5496" w:themeColor="accent1" w:themeShade="BF"/>
          <w:sz w:val="28"/>
          <w:szCs w:val="28"/>
        </w:rPr>
      </w:pPr>
    </w:p>
    <w:p w14:paraId="242F8E5D" w14:textId="0DD5C9DB" w:rsidR="00E17BBE" w:rsidRPr="002338EE" w:rsidRDefault="00E17BBE" w:rsidP="00E17BBE">
      <w:pPr>
        <w:pBdr>
          <w:bottom w:val="single" w:sz="4" w:space="1" w:color="auto"/>
        </w:pBdr>
        <w:rPr>
          <w:rFonts w:ascii="Arial Rounded MT Bold" w:hAnsi="Arial Rounded MT Bold"/>
          <w:color w:val="2F5496" w:themeColor="accent1" w:themeShade="BF"/>
          <w:sz w:val="28"/>
          <w:szCs w:val="28"/>
        </w:rPr>
      </w:pPr>
      <w:bookmarkStart w:id="2" w:name="_GoBack"/>
      <w:bookmarkEnd w:id="2"/>
      <w:r w:rsidRPr="002338EE">
        <w:rPr>
          <w:rFonts w:ascii="Arial Rounded MT Bold" w:hAnsi="Arial Rounded MT Bold"/>
          <w:color w:val="2F5496" w:themeColor="accent1" w:themeShade="BF"/>
          <w:sz w:val="28"/>
          <w:szCs w:val="28"/>
        </w:rPr>
        <w:lastRenderedPageBreak/>
        <w:t xml:space="preserve">Appendix </w:t>
      </w:r>
      <w:r>
        <w:rPr>
          <w:rFonts w:ascii="Arial Rounded MT Bold" w:hAnsi="Arial Rounded MT Bold"/>
          <w:color w:val="2F5496" w:themeColor="accent1" w:themeShade="BF"/>
          <w:sz w:val="28"/>
          <w:szCs w:val="28"/>
        </w:rPr>
        <w:t>2</w:t>
      </w:r>
      <w:r w:rsidRPr="002338EE">
        <w:rPr>
          <w:rFonts w:ascii="Arial Rounded MT Bold" w:hAnsi="Arial Rounded MT Bold"/>
          <w:color w:val="2F5496" w:themeColor="accent1" w:themeShade="BF"/>
          <w:sz w:val="28"/>
          <w:szCs w:val="28"/>
        </w:rPr>
        <w:t>:</w:t>
      </w:r>
      <w:r>
        <w:rPr>
          <w:rFonts w:ascii="Arial Rounded MT Bold" w:hAnsi="Arial Rounded MT Bold"/>
          <w:color w:val="2F5496" w:themeColor="accent1" w:themeShade="BF"/>
          <w:sz w:val="28"/>
          <w:szCs w:val="28"/>
        </w:rPr>
        <w:t xml:space="preserve"> The Facility Hierarchy</w:t>
      </w:r>
    </w:p>
    <w:p w14:paraId="703C78DE" w14:textId="47238112" w:rsidR="009E2875" w:rsidRDefault="009E2875" w:rsidP="001745AB">
      <w:pPr>
        <w:spacing w:before="120" w:after="120" w:line="300" w:lineRule="atLeast"/>
        <w:rPr>
          <w:rFonts w:cstheme="minorHAnsi"/>
          <w:sz w:val="20"/>
          <w:szCs w:val="20"/>
        </w:rPr>
      </w:pPr>
      <w:r w:rsidRPr="001745AB">
        <w:rPr>
          <w:rFonts w:cstheme="minorHAnsi"/>
          <w:noProof/>
          <w:sz w:val="20"/>
          <w:szCs w:val="20"/>
        </w:rPr>
        <w:drawing>
          <wp:anchor distT="0" distB="0" distL="114300" distR="114300" simplePos="0" relativeHeight="251658254" behindDoc="0" locked="0" layoutInCell="1" allowOverlap="1" wp14:anchorId="24CEC858" wp14:editId="1F8FEC97">
            <wp:simplePos x="0" y="0"/>
            <wp:positionH relativeFrom="column">
              <wp:posOffset>2689860</wp:posOffset>
            </wp:positionH>
            <wp:positionV relativeFrom="paragraph">
              <wp:posOffset>446405</wp:posOffset>
            </wp:positionV>
            <wp:extent cx="3190875" cy="4905375"/>
            <wp:effectExtent l="38100" t="0" r="66675" b="9525"/>
            <wp:wrapNone/>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Pr>
          <w:rFonts w:ascii="Arial Rounded MT Bold" w:hAnsi="Arial Rounded MT Bold"/>
          <w:noProof/>
          <w:color w:val="2F5496" w:themeColor="accent1" w:themeShade="BF"/>
          <w:sz w:val="28"/>
          <w:szCs w:val="28"/>
        </w:rPr>
        <w:drawing>
          <wp:anchor distT="0" distB="0" distL="114300" distR="114300" simplePos="0" relativeHeight="251658255" behindDoc="0" locked="0" layoutInCell="1" allowOverlap="1" wp14:anchorId="78B21F03" wp14:editId="392A1C64">
            <wp:simplePos x="0" y="0"/>
            <wp:positionH relativeFrom="column">
              <wp:posOffset>1442085</wp:posOffset>
            </wp:positionH>
            <wp:positionV relativeFrom="paragraph">
              <wp:posOffset>446405</wp:posOffset>
            </wp:positionV>
            <wp:extent cx="1247775" cy="4905375"/>
            <wp:effectExtent l="0" t="0" r="0" b="9525"/>
            <wp:wrapNone/>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Pr>
          <w:rFonts w:ascii="Arial Rounded MT Bold" w:hAnsi="Arial Rounded MT Bold"/>
          <w:noProof/>
          <w:color w:val="2F5496" w:themeColor="accent1" w:themeShade="BF"/>
          <w:sz w:val="28"/>
          <w:szCs w:val="28"/>
        </w:rPr>
        <w:drawing>
          <wp:anchor distT="0" distB="0" distL="114300" distR="114300" simplePos="0" relativeHeight="251658256" behindDoc="0" locked="0" layoutInCell="1" allowOverlap="1" wp14:anchorId="188D79E8" wp14:editId="330DF2D8">
            <wp:simplePos x="0" y="0"/>
            <wp:positionH relativeFrom="column">
              <wp:posOffset>5972175</wp:posOffset>
            </wp:positionH>
            <wp:positionV relativeFrom="paragraph">
              <wp:posOffset>447675</wp:posOffset>
            </wp:positionV>
            <wp:extent cx="1247775" cy="4905375"/>
            <wp:effectExtent l="38100" t="0" r="47625" b="9525"/>
            <wp:wrapNone/>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1745AB" w:rsidRPr="001745AB">
        <w:rPr>
          <w:rFonts w:cstheme="minorHAnsi"/>
          <w:sz w:val="20"/>
          <w:szCs w:val="20"/>
        </w:rPr>
        <w:t>The following general facility hierarchy definitions have been used within the Wellington Regional Spaces and Places Facility Plan. The hierarchy allows us to distinguish the different types and levels of activity that can be run within facilities.</w:t>
      </w:r>
      <w:r w:rsidRPr="009E2875">
        <w:t xml:space="preserve"> </w:t>
      </w:r>
      <w:r w:rsidRPr="009E2875">
        <w:rPr>
          <w:rFonts w:cstheme="minorHAnsi"/>
          <w:sz w:val="20"/>
          <w:szCs w:val="20"/>
        </w:rPr>
        <w:t>Note: It is important to understand that a facility at a higher hierarchy level may also meet the needs all the way down to a local level.</w:t>
      </w:r>
    </w:p>
    <w:p w14:paraId="1602A394" w14:textId="273C5886" w:rsidR="001D055C" w:rsidRDefault="002338EE" w:rsidP="001745AB">
      <w:pPr>
        <w:spacing w:before="120" w:after="120" w:line="300" w:lineRule="atLeast"/>
        <w:rPr>
          <w:rFonts w:ascii="Arial Rounded MT Bold" w:hAnsi="Arial Rounded MT Bold"/>
          <w:color w:val="2F5496" w:themeColor="accent1" w:themeShade="BF"/>
          <w:sz w:val="28"/>
          <w:szCs w:val="28"/>
        </w:rPr>
      </w:pPr>
      <w:r>
        <w:rPr>
          <w:rFonts w:ascii="Arial Rounded MT Bold" w:hAnsi="Arial Rounded MT Bold"/>
          <w:color w:val="2F5496" w:themeColor="accent1" w:themeShade="BF"/>
          <w:sz w:val="28"/>
          <w:szCs w:val="28"/>
        </w:rPr>
        <w:br w:type="page"/>
      </w:r>
    </w:p>
    <w:p w14:paraId="6F362602" w14:textId="77777777" w:rsidR="009E2875" w:rsidRPr="009E2875" w:rsidRDefault="009E2875" w:rsidP="009E2875">
      <w:pPr>
        <w:rPr>
          <w:rFonts w:ascii="Arial Rounded MT Bold" w:hAnsi="Arial Rounded MT Bold"/>
          <w:color w:val="2F5496" w:themeColor="accent1" w:themeShade="BF"/>
          <w:sz w:val="28"/>
          <w:szCs w:val="28"/>
        </w:rPr>
      </w:pPr>
      <w:r w:rsidRPr="009E2875">
        <w:rPr>
          <w:rFonts w:ascii="Arial Rounded MT Bold" w:hAnsi="Arial Rounded MT Bold"/>
          <w:color w:val="2F5496" w:themeColor="accent1" w:themeShade="BF"/>
          <w:sz w:val="28"/>
          <w:szCs w:val="28"/>
        </w:rPr>
        <w:lastRenderedPageBreak/>
        <w:t>APPENDIX 3: Summary of regional, national and international facilities in the Wellington region</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1701"/>
        <w:gridCol w:w="9497"/>
        <w:gridCol w:w="1276"/>
      </w:tblGrid>
      <w:tr w:rsidR="009E2875" w:rsidRPr="009E2875" w14:paraId="4E873FDC" w14:textId="77777777" w:rsidTr="009E2875">
        <w:trPr>
          <w:trHeight w:val="397"/>
          <w:tblHeader/>
        </w:trPr>
        <w:tc>
          <w:tcPr>
            <w:tcW w:w="1134" w:type="dxa"/>
            <w:shd w:val="clear" w:color="auto" w:fill="2E74B5" w:themeFill="accent5" w:themeFillShade="BF"/>
          </w:tcPr>
          <w:p w14:paraId="0B5D1683" w14:textId="77777777" w:rsidR="009E2875" w:rsidRPr="009E2875" w:rsidRDefault="009E2875" w:rsidP="009E2875">
            <w:pPr>
              <w:spacing w:before="120" w:after="0" w:line="240" w:lineRule="auto"/>
              <w:jc w:val="center"/>
              <w:rPr>
                <w:b/>
                <w:color w:val="FFFFFF" w:themeColor="background1"/>
                <w:sz w:val="20"/>
                <w:szCs w:val="20"/>
              </w:rPr>
            </w:pPr>
            <w:r w:rsidRPr="009E2875">
              <w:rPr>
                <w:b/>
                <w:color w:val="FFFFFF" w:themeColor="background1"/>
                <w:sz w:val="20"/>
                <w:szCs w:val="20"/>
              </w:rPr>
              <w:t>Facility type</w:t>
            </w:r>
          </w:p>
        </w:tc>
        <w:tc>
          <w:tcPr>
            <w:tcW w:w="1276" w:type="dxa"/>
            <w:shd w:val="clear" w:color="auto" w:fill="2E74B5" w:themeFill="accent5" w:themeFillShade="BF"/>
            <w:vAlign w:val="center"/>
          </w:tcPr>
          <w:p w14:paraId="0D3555C4" w14:textId="77777777" w:rsidR="009E2875" w:rsidRPr="009E2875" w:rsidRDefault="009E2875" w:rsidP="009E2875">
            <w:pPr>
              <w:spacing w:before="120" w:after="0" w:line="240" w:lineRule="auto"/>
              <w:jc w:val="center"/>
              <w:rPr>
                <w:rFonts w:eastAsia="Times New Roman" w:cstheme="minorHAnsi"/>
                <w:b/>
                <w:color w:val="FFFFFF" w:themeColor="background1"/>
                <w:sz w:val="20"/>
                <w:szCs w:val="20"/>
                <w:lang w:eastAsia="en-NZ"/>
              </w:rPr>
            </w:pPr>
            <w:r w:rsidRPr="009E2875">
              <w:rPr>
                <w:rFonts w:eastAsia="Times New Roman" w:cstheme="minorHAnsi"/>
                <w:b/>
                <w:color w:val="FFFFFF" w:themeColor="background1"/>
                <w:sz w:val="20"/>
                <w:szCs w:val="20"/>
                <w:lang w:eastAsia="en-NZ"/>
              </w:rPr>
              <w:t>District/City</w:t>
            </w:r>
          </w:p>
        </w:tc>
        <w:tc>
          <w:tcPr>
            <w:tcW w:w="1701" w:type="dxa"/>
            <w:shd w:val="clear" w:color="auto" w:fill="2E74B5" w:themeFill="accent5" w:themeFillShade="BF"/>
            <w:vAlign w:val="center"/>
          </w:tcPr>
          <w:p w14:paraId="52280031" w14:textId="77777777" w:rsidR="009E2875" w:rsidRPr="009E2875" w:rsidRDefault="009E2875" w:rsidP="009E2875">
            <w:pPr>
              <w:spacing w:before="120" w:after="0" w:line="240" w:lineRule="auto"/>
              <w:jc w:val="center"/>
              <w:rPr>
                <w:rFonts w:eastAsia="Times New Roman" w:cstheme="minorHAnsi"/>
                <w:b/>
                <w:color w:val="FFFFFF" w:themeColor="background1"/>
                <w:sz w:val="20"/>
                <w:szCs w:val="20"/>
                <w:lang w:eastAsia="en-NZ"/>
              </w:rPr>
            </w:pPr>
            <w:r w:rsidRPr="009E2875">
              <w:rPr>
                <w:rFonts w:eastAsia="Times New Roman" w:cstheme="minorHAnsi"/>
                <w:b/>
                <w:color w:val="FFFFFF" w:themeColor="background1"/>
                <w:sz w:val="20"/>
                <w:szCs w:val="20"/>
                <w:lang w:eastAsia="en-NZ"/>
              </w:rPr>
              <w:t>Facility Name</w:t>
            </w:r>
          </w:p>
        </w:tc>
        <w:tc>
          <w:tcPr>
            <w:tcW w:w="9497" w:type="dxa"/>
            <w:shd w:val="clear" w:color="auto" w:fill="2E74B5" w:themeFill="accent5" w:themeFillShade="BF"/>
            <w:vAlign w:val="center"/>
          </w:tcPr>
          <w:p w14:paraId="639C3649" w14:textId="77777777" w:rsidR="009E2875" w:rsidRPr="009E2875" w:rsidRDefault="009E2875" w:rsidP="009E2875">
            <w:pPr>
              <w:spacing w:before="120" w:after="0" w:line="240" w:lineRule="auto"/>
              <w:jc w:val="center"/>
              <w:rPr>
                <w:rFonts w:cstheme="minorHAnsi"/>
                <w:b/>
                <w:color w:val="FFFFFF" w:themeColor="background1"/>
                <w:sz w:val="20"/>
                <w:szCs w:val="20"/>
              </w:rPr>
            </w:pPr>
            <w:r w:rsidRPr="009E2875">
              <w:rPr>
                <w:rFonts w:cstheme="minorHAnsi"/>
                <w:b/>
                <w:color w:val="FFFFFF" w:themeColor="background1"/>
                <w:sz w:val="20"/>
                <w:szCs w:val="20"/>
              </w:rPr>
              <w:t>Description</w:t>
            </w:r>
          </w:p>
        </w:tc>
        <w:tc>
          <w:tcPr>
            <w:tcW w:w="1276" w:type="dxa"/>
            <w:shd w:val="clear" w:color="auto" w:fill="2E74B5" w:themeFill="accent5" w:themeFillShade="BF"/>
            <w:vAlign w:val="center"/>
          </w:tcPr>
          <w:p w14:paraId="7ADB6A3A" w14:textId="77777777" w:rsidR="009E2875" w:rsidRPr="009E2875" w:rsidRDefault="009E2875" w:rsidP="009E2875">
            <w:pPr>
              <w:spacing w:before="120" w:after="0" w:line="240" w:lineRule="auto"/>
              <w:jc w:val="center"/>
              <w:rPr>
                <w:rFonts w:eastAsia="Times New Roman" w:cstheme="minorHAnsi"/>
                <w:b/>
                <w:color w:val="FFFFFF" w:themeColor="background1"/>
                <w:sz w:val="20"/>
                <w:szCs w:val="20"/>
                <w:lang w:eastAsia="en-NZ"/>
              </w:rPr>
            </w:pPr>
            <w:r w:rsidRPr="009E2875">
              <w:rPr>
                <w:rFonts w:eastAsia="Times New Roman" w:cstheme="minorHAnsi"/>
                <w:b/>
                <w:color w:val="FFFFFF" w:themeColor="background1"/>
                <w:sz w:val="20"/>
                <w:szCs w:val="20"/>
                <w:lang w:eastAsia="en-NZ"/>
              </w:rPr>
              <w:t>Status</w:t>
            </w:r>
          </w:p>
        </w:tc>
      </w:tr>
      <w:tr w:rsidR="009E2875" w:rsidRPr="009E2875" w14:paraId="1A383763" w14:textId="77777777" w:rsidTr="009E2875">
        <w:trPr>
          <w:trHeight w:val="624"/>
        </w:trPr>
        <w:tc>
          <w:tcPr>
            <w:tcW w:w="1134" w:type="dxa"/>
            <w:vMerge w:val="restart"/>
            <w:shd w:val="clear" w:color="auto" w:fill="DEEAF6" w:themeFill="accent5" w:themeFillTint="33"/>
          </w:tcPr>
          <w:p w14:paraId="35A9C07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p w14:paraId="4C48DA5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Indoor Courts</w:t>
            </w:r>
          </w:p>
        </w:tc>
        <w:tc>
          <w:tcPr>
            <w:tcW w:w="1276" w:type="dxa"/>
            <w:shd w:val="clear" w:color="auto" w:fill="DEEAF6" w:themeFill="accent5" w:themeFillTint="33"/>
            <w:vAlign w:val="center"/>
            <w:hideMark/>
          </w:tcPr>
          <w:p w14:paraId="21ECF7E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shd w:val="clear" w:color="auto" w:fill="DEEAF6" w:themeFill="accent5" w:themeFillTint="33"/>
            <w:vAlign w:val="center"/>
            <w:hideMark/>
          </w:tcPr>
          <w:p w14:paraId="1AEFFB0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Walter Nash Centre</w:t>
            </w:r>
          </w:p>
        </w:tc>
        <w:tc>
          <w:tcPr>
            <w:tcW w:w="9497" w:type="dxa"/>
            <w:shd w:val="clear" w:color="auto" w:fill="DEEAF6" w:themeFill="accent5" w:themeFillTint="33"/>
            <w:vAlign w:val="center"/>
            <w:hideMark/>
          </w:tcPr>
          <w:p w14:paraId="037E9477"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cstheme="minorHAnsi"/>
                <w:color w:val="000000" w:themeColor="text1"/>
                <w:sz w:val="20"/>
                <w:szCs w:val="20"/>
              </w:rPr>
              <w:t xml:space="preserve">5x basketball courts also marked for 5x netball, 6x volleyball, 2x futsal, 2x floorball, 2x handball, 5x dodgeball, and used for various other indoor sports; 4 meeting rooms, community fitness gym, library, offices and cafe. 1x outdoor basketball half court. </w:t>
            </w:r>
          </w:p>
        </w:tc>
        <w:tc>
          <w:tcPr>
            <w:tcW w:w="1276" w:type="dxa"/>
            <w:shd w:val="clear" w:color="auto" w:fill="DEEAF6" w:themeFill="accent5" w:themeFillTint="33"/>
            <w:vAlign w:val="center"/>
            <w:hideMark/>
          </w:tcPr>
          <w:p w14:paraId="2A1246F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National </w:t>
            </w:r>
          </w:p>
        </w:tc>
      </w:tr>
      <w:tr w:rsidR="009E2875" w:rsidRPr="009E2875" w14:paraId="3A31A061" w14:textId="77777777" w:rsidTr="009E2875">
        <w:trPr>
          <w:trHeight w:val="624"/>
        </w:trPr>
        <w:tc>
          <w:tcPr>
            <w:tcW w:w="1134" w:type="dxa"/>
            <w:vMerge/>
            <w:shd w:val="clear" w:color="auto" w:fill="DEEAF6" w:themeFill="accent5" w:themeFillTint="33"/>
          </w:tcPr>
          <w:p w14:paraId="79B18E6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2BB1038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0E0FA2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Te Rauparaha Arena (Mana Community Grants Stadium)</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E8A4A6"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 xml:space="preserve">Part of Te Rauparaha Arena. 3 courts- full international standard size courts Grandstand seating for 3,000 people, can be split into 3 separate courts or one large space. Caters for conferences, dinners, sporting events, expos. Can combine with NZCT Stadium.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0133E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2A3A965B" w14:textId="77777777" w:rsidTr="009E2875">
        <w:trPr>
          <w:trHeight w:val="624"/>
        </w:trPr>
        <w:tc>
          <w:tcPr>
            <w:tcW w:w="1134" w:type="dxa"/>
            <w:vMerge/>
            <w:shd w:val="clear" w:color="auto" w:fill="DEEAF6" w:themeFill="accent5" w:themeFillTint="33"/>
          </w:tcPr>
          <w:p w14:paraId="1CE2733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366A035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C0F8AC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Te Rauparaha Arena (NZCT Stadium)</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B4B0002"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 xml:space="preserve">Part of Te Rauparaha Arena. 1x basketball/netball court (international size). Adjacent to Mana Community Grants Foundation Stadium.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4C03C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082CAA0F" w14:textId="77777777" w:rsidTr="009E2875">
        <w:trPr>
          <w:trHeight w:val="624"/>
        </w:trPr>
        <w:tc>
          <w:tcPr>
            <w:tcW w:w="1134" w:type="dxa"/>
            <w:vMerge/>
            <w:shd w:val="clear" w:color="auto" w:fill="DEEAF6" w:themeFill="accent5" w:themeFillTint="33"/>
          </w:tcPr>
          <w:p w14:paraId="24A6F47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33FCE65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1DC6D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ASB Sports Centre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962E0A7"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 xml:space="preserve">12x sprung floor courts, multiple uses (basketball/netball etc). Largest indoor facility, community sport focus, but can host larger tournaments /events.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15154B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211FB777" w14:textId="77777777" w:rsidTr="009E2875">
        <w:trPr>
          <w:trHeight w:val="624"/>
        </w:trPr>
        <w:tc>
          <w:tcPr>
            <w:tcW w:w="1134" w:type="dxa"/>
            <w:vMerge/>
            <w:tcBorders>
              <w:bottom w:val="single" w:sz="4" w:space="0" w:color="auto"/>
            </w:tcBorders>
            <w:shd w:val="clear" w:color="auto" w:fill="DEEAF6" w:themeFill="accent5" w:themeFillTint="33"/>
          </w:tcPr>
          <w:p w14:paraId="3484BB4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63120EC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6CDBCA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TSB Arena</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CB8D76"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Large, flexible facility with a sprung timber sports floor providing 1 x indoor court suitable for regional to international level centre court sport. Retractable tiered seating provided</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4FEE18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35230093" w14:textId="77777777" w:rsidTr="009E2875">
        <w:trPr>
          <w:trHeight w:val="624"/>
        </w:trPr>
        <w:tc>
          <w:tcPr>
            <w:tcW w:w="1134" w:type="dxa"/>
            <w:vMerge w:val="restart"/>
            <w:tcBorders>
              <w:top w:val="single" w:sz="4" w:space="0" w:color="auto"/>
              <w:left w:val="single" w:sz="4" w:space="0" w:color="auto"/>
              <w:right w:val="single" w:sz="4" w:space="0" w:color="auto"/>
            </w:tcBorders>
          </w:tcPr>
          <w:p w14:paraId="58CE108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Aquatics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924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5D24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 Regional Aquatic Centre</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148CF"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 xml:space="preserve">50 m heated indoor pool, diving pool, toddlers' pool and spray water-play area, hydrotherapy pool, spa, saunas.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3049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 National</w:t>
            </w:r>
          </w:p>
        </w:tc>
      </w:tr>
      <w:tr w:rsidR="009E2875" w:rsidRPr="009E2875" w14:paraId="79268CC3" w14:textId="77777777" w:rsidTr="009E2875">
        <w:trPr>
          <w:trHeight w:val="624"/>
        </w:trPr>
        <w:tc>
          <w:tcPr>
            <w:tcW w:w="1134" w:type="dxa"/>
            <w:vMerge/>
            <w:tcBorders>
              <w:left w:val="single" w:sz="4" w:space="0" w:color="auto"/>
              <w:bottom w:val="single" w:sz="4" w:space="0" w:color="auto"/>
              <w:right w:val="single" w:sz="4" w:space="0" w:color="auto"/>
            </w:tcBorders>
          </w:tcPr>
          <w:p w14:paraId="1AD9CF5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F3D81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B650B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Naenae Pool and Fitness</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tcPr>
          <w:p w14:paraId="0E42315A" w14:textId="77777777" w:rsidR="009E2875" w:rsidRPr="009E2875" w:rsidRDefault="009E2875" w:rsidP="009E2875">
            <w:pPr>
              <w:spacing w:after="0" w:line="240" w:lineRule="auto"/>
              <w:rPr>
                <w:rFonts w:cstheme="minorHAnsi"/>
                <w:color w:val="000000" w:themeColor="text1"/>
                <w:sz w:val="20"/>
                <w:szCs w:val="20"/>
              </w:rPr>
            </w:pPr>
            <w:r w:rsidRPr="009E2875">
              <w:rPr>
                <w:rFonts w:cstheme="minorHAnsi"/>
                <w:color w:val="000000" w:themeColor="text1"/>
                <w:sz w:val="20"/>
                <w:szCs w:val="20"/>
              </w:rPr>
              <w:t xml:space="preserve">Indoor 50m 7 lane pool with moveable bulkhead; learners/toddlers pool; waterslide; diving boards, fitness gym, 3 meeting rooms, offices, changing and toilets. On Walter Mildenhall Park.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6C132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36FDA5AC" w14:textId="77777777" w:rsidTr="009E2875">
        <w:trPr>
          <w:trHeight w:val="624"/>
        </w:trPr>
        <w:tc>
          <w:tcPr>
            <w:tcW w:w="1134" w:type="dxa"/>
            <w:vMerge w:val="restart"/>
            <w:shd w:val="clear" w:color="auto" w:fill="DEEAF6" w:themeFill="accent5" w:themeFillTint="33"/>
          </w:tcPr>
          <w:p w14:paraId="56F30262"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Sportsfields</w:t>
            </w:r>
          </w:p>
        </w:tc>
        <w:tc>
          <w:tcPr>
            <w:tcW w:w="1276" w:type="dxa"/>
            <w:shd w:val="clear" w:color="auto" w:fill="DEEAF6" w:themeFill="accent5" w:themeFillTint="33"/>
            <w:vAlign w:val="center"/>
            <w:hideMark/>
          </w:tcPr>
          <w:p w14:paraId="43AF590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shd w:val="clear" w:color="auto" w:fill="DEEAF6" w:themeFill="accent5" w:themeFillTint="33"/>
            <w:vAlign w:val="center"/>
            <w:hideMark/>
          </w:tcPr>
          <w:p w14:paraId="38F6F27A"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Porirua Park (Trust Park Porirua)</w:t>
            </w:r>
          </w:p>
        </w:tc>
        <w:tc>
          <w:tcPr>
            <w:tcW w:w="9497" w:type="dxa"/>
            <w:shd w:val="clear" w:color="auto" w:fill="DEEAF6" w:themeFill="accent5" w:themeFillTint="33"/>
            <w:vAlign w:val="center"/>
            <w:hideMark/>
          </w:tcPr>
          <w:p w14:paraId="74C10E1B" w14:textId="77777777" w:rsidR="009E2875" w:rsidRPr="009E2875" w:rsidRDefault="009E2875" w:rsidP="009E2875">
            <w:pPr>
              <w:spacing w:after="0" w:line="240" w:lineRule="auto"/>
              <w:rPr>
                <w:rFonts w:eastAsia="Times New Roman" w:cstheme="minorHAnsi"/>
                <w:sz w:val="18"/>
                <w:szCs w:val="18"/>
                <w:lang w:eastAsia="en-NZ"/>
              </w:rPr>
            </w:pPr>
            <w:r w:rsidRPr="009E2875">
              <w:rPr>
                <w:rFonts w:eastAsia="Times New Roman" w:cstheme="minorHAnsi"/>
                <w:sz w:val="18"/>
                <w:szCs w:val="18"/>
                <w:lang w:eastAsia="en-NZ"/>
              </w:rPr>
              <w:t xml:space="preserve">4x fields. 2 higher grades and 2 lower grade landfill caps (unsuitable for capital development), training areas with lights. #1 field is international standard (sand carpet) with grandstand. </w:t>
            </w:r>
          </w:p>
        </w:tc>
        <w:tc>
          <w:tcPr>
            <w:tcW w:w="1276" w:type="dxa"/>
            <w:shd w:val="clear" w:color="auto" w:fill="DEEAF6" w:themeFill="accent5" w:themeFillTint="33"/>
            <w:vAlign w:val="center"/>
            <w:hideMark/>
          </w:tcPr>
          <w:p w14:paraId="2D470F35"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International</w:t>
            </w:r>
          </w:p>
          <w:p w14:paraId="1A1F1F3A"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Regional</w:t>
            </w:r>
          </w:p>
        </w:tc>
      </w:tr>
      <w:tr w:rsidR="009E2875" w:rsidRPr="009E2875" w14:paraId="396F610F" w14:textId="77777777" w:rsidTr="009E2875">
        <w:trPr>
          <w:trHeight w:val="624"/>
        </w:trPr>
        <w:tc>
          <w:tcPr>
            <w:tcW w:w="1134" w:type="dxa"/>
            <w:vMerge/>
            <w:shd w:val="clear" w:color="auto" w:fill="DEEAF6" w:themeFill="accent5" w:themeFillTint="33"/>
          </w:tcPr>
          <w:p w14:paraId="3BC99AC4" w14:textId="77777777" w:rsidR="009E2875" w:rsidRPr="009E2875" w:rsidRDefault="009E2875" w:rsidP="009E2875">
            <w:pPr>
              <w:spacing w:after="0" w:line="240" w:lineRule="auto"/>
              <w:jc w:val="center"/>
              <w:rPr>
                <w:rFonts w:eastAsia="Times New Roman" w:cstheme="minorHAnsi"/>
                <w:sz w:val="18"/>
                <w:szCs w:val="18"/>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40431E8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9F70C43"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Newtown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59E63C5" w14:textId="77777777" w:rsidR="009E2875" w:rsidRPr="009E2875" w:rsidRDefault="009E2875" w:rsidP="009E2875">
            <w:pPr>
              <w:spacing w:after="0" w:line="240" w:lineRule="auto"/>
              <w:rPr>
                <w:rFonts w:eastAsia="Times New Roman" w:cstheme="minorHAnsi"/>
                <w:sz w:val="18"/>
                <w:szCs w:val="18"/>
                <w:lang w:eastAsia="en-NZ"/>
              </w:rPr>
            </w:pPr>
            <w:r w:rsidRPr="009E2875">
              <w:rPr>
                <w:rFonts w:eastAsia="Times New Roman" w:cstheme="minorHAnsi"/>
                <w:sz w:val="18"/>
                <w:szCs w:val="18"/>
                <w:lang w:eastAsia="en-NZ"/>
              </w:rPr>
              <w:t xml:space="preserve">2x football fields, condition grade 1.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6658F3"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Regional</w:t>
            </w:r>
          </w:p>
        </w:tc>
      </w:tr>
      <w:tr w:rsidR="009E2875" w:rsidRPr="009E2875" w14:paraId="3B299C98" w14:textId="77777777" w:rsidTr="009E2875">
        <w:trPr>
          <w:trHeight w:val="624"/>
        </w:trPr>
        <w:tc>
          <w:tcPr>
            <w:tcW w:w="1134" w:type="dxa"/>
            <w:vMerge/>
            <w:shd w:val="clear" w:color="auto" w:fill="DEEAF6" w:themeFill="accent5" w:themeFillTint="33"/>
          </w:tcPr>
          <w:p w14:paraId="00EB3CD1" w14:textId="77777777" w:rsidR="009E2875" w:rsidRPr="009E2875" w:rsidRDefault="009E2875" w:rsidP="009E2875">
            <w:pPr>
              <w:spacing w:after="0" w:line="240" w:lineRule="auto"/>
              <w:jc w:val="center"/>
              <w:rPr>
                <w:rFonts w:eastAsia="Times New Roman" w:cstheme="minorHAnsi"/>
                <w:sz w:val="18"/>
                <w:szCs w:val="18"/>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hideMark/>
          </w:tcPr>
          <w:p w14:paraId="5B88D28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B014C27"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Westpac Stadium</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D34191" w14:textId="77777777" w:rsidR="009E2875" w:rsidRPr="009E2875" w:rsidRDefault="009E2875" w:rsidP="009E2875">
            <w:pPr>
              <w:spacing w:after="0" w:line="240" w:lineRule="auto"/>
              <w:rPr>
                <w:rFonts w:eastAsia="Times New Roman" w:cstheme="minorHAnsi"/>
                <w:sz w:val="18"/>
                <w:szCs w:val="18"/>
                <w:lang w:eastAsia="en-NZ"/>
              </w:rPr>
            </w:pPr>
            <w:r w:rsidRPr="009E2875">
              <w:rPr>
                <w:rFonts w:eastAsia="Times New Roman" w:cstheme="minorHAnsi"/>
                <w:sz w:val="18"/>
                <w:szCs w:val="18"/>
                <w:lang w:eastAsia="en-NZ"/>
              </w:rPr>
              <w:t xml:space="preserve">1x multi-use field (all codes). Premiere Regional venue.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28749DE"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International</w:t>
            </w:r>
          </w:p>
        </w:tc>
      </w:tr>
      <w:tr w:rsidR="009E2875" w:rsidRPr="009E2875" w14:paraId="1838611E" w14:textId="77777777" w:rsidTr="009E2875">
        <w:trPr>
          <w:trHeight w:val="624"/>
        </w:trPr>
        <w:tc>
          <w:tcPr>
            <w:tcW w:w="1134" w:type="dxa"/>
            <w:vMerge/>
            <w:tcBorders>
              <w:bottom w:val="single" w:sz="4" w:space="0" w:color="auto"/>
            </w:tcBorders>
            <w:shd w:val="clear" w:color="auto" w:fill="DEEAF6" w:themeFill="accent5" w:themeFillTint="33"/>
          </w:tcPr>
          <w:p w14:paraId="46694FFB" w14:textId="77777777" w:rsidR="009E2875" w:rsidRPr="009E2875" w:rsidRDefault="009E2875" w:rsidP="009E2875">
            <w:pPr>
              <w:spacing w:after="0" w:line="240" w:lineRule="auto"/>
              <w:jc w:val="center"/>
              <w:rPr>
                <w:rFonts w:eastAsia="Times New Roman" w:cstheme="minorHAnsi"/>
                <w:sz w:val="18"/>
                <w:szCs w:val="18"/>
                <w:lang w:eastAsia="en-NZ"/>
              </w:rPr>
            </w:pPr>
          </w:p>
        </w:tc>
        <w:tc>
          <w:tcPr>
            <w:tcW w:w="1276" w:type="dxa"/>
            <w:tcBorders>
              <w:top w:val="single" w:sz="4" w:space="0" w:color="auto"/>
              <w:bottom w:val="single" w:sz="4" w:space="0" w:color="auto"/>
              <w:right w:val="single" w:sz="4" w:space="0" w:color="auto"/>
            </w:tcBorders>
            <w:shd w:val="clear" w:color="auto" w:fill="DEEAF6" w:themeFill="accent5" w:themeFillTint="33"/>
            <w:vAlign w:val="center"/>
          </w:tcPr>
          <w:p w14:paraId="512E251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514262"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Fraser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6CACCD" w14:textId="77777777" w:rsidR="009E2875" w:rsidRPr="009E2875" w:rsidRDefault="009E2875" w:rsidP="009E2875">
            <w:pPr>
              <w:spacing w:after="0" w:line="240" w:lineRule="auto"/>
              <w:rPr>
                <w:rFonts w:eastAsia="Times New Roman" w:cstheme="minorHAnsi"/>
                <w:sz w:val="18"/>
                <w:szCs w:val="18"/>
                <w:lang w:eastAsia="en-NZ"/>
              </w:rPr>
            </w:pPr>
            <w:r w:rsidRPr="009E2875">
              <w:rPr>
                <w:rFonts w:eastAsia="Times New Roman" w:cstheme="minorHAnsi"/>
                <w:sz w:val="18"/>
                <w:szCs w:val="18"/>
                <w:lang w:eastAsia="en-NZ"/>
              </w:rPr>
              <w:t xml:space="preserve">4 Rugby fields, 7 football fields, 1 artificial diamond (infield), 3 grass diamonds, 3 skin (lime based) diamonds, 4 artificial cricket strips, 3 cricket blocks, 3 lane cricket practice nets. Cricket practice nets owned by club.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2E106A" w14:textId="77777777" w:rsidR="009E2875" w:rsidRPr="009E2875" w:rsidRDefault="009E2875" w:rsidP="009E2875">
            <w:pPr>
              <w:spacing w:after="0" w:line="240" w:lineRule="auto"/>
              <w:jc w:val="center"/>
              <w:rPr>
                <w:rFonts w:eastAsia="Times New Roman" w:cstheme="minorHAnsi"/>
                <w:sz w:val="18"/>
                <w:szCs w:val="18"/>
                <w:lang w:eastAsia="en-NZ"/>
              </w:rPr>
            </w:pPr>
            <w:r w:rsidRPr="009E2875">
              <w:rPr>
                <w:rFonts w:eastAsia="Times New Roman" w:cstheme="minorHAnsi"/>
                <w:sz w:val="18"/>
                <w:szCs w:val="18"/>
                <w:lang w:eastAsia="en-NZ"/>
              </w:rPr>
              <w:t>Regional</w:t>
            </w:r>
          </w:p>
        </w:tc>
      </w:tr>
      <w:tr w:rsidR="009E2875" w:rsidRPr="009E2875" w14:paraId="6990C007" w14:textId="77777777" w:rsidTr="009E2875">
        <w:trPr>
          <w:trHeight w:val="624"/>
        </w:trPr>
        <w:tc>
          <w:tcPr>
            <w:tcW w:w="1134" w:type="dxa"/>
            <w:vMerge w:val="restart"/>
          </w:tcPr>
          <w:p w14:paraId="45F26EA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sz w:val="20"/>
                <w:szCs w:val="20"/>
              </w:rPr>
              <w:lastRenderedPageBreak/>
              <w:t>Cricket</w:t>
            </w:r>
          </w:p>
        </w:tc>
        <w:tc>
          <w:tcPr>
            <w:tcW w:w="1276" w:type="dxa"/>
            <w:shd w:val="clear" w:color="auto" w:fill="auto"/>
            <w:vAlign w:val="center"/>
            <w:hideMark/>
          </w:tcPr>
          <w:p w14:paraId="008AC8D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shd w:val="clear" w:color="auto" w:fill="auto"/>
            <w:vAlign w:val="center"/>
            <w:hideMark/>
          </w:tcPr>
          <w:p w14:paraId="6747BC5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Basin Reserve (and Indoor)</w:t>
            </w:r>
          </w:p>
        </w:tc>
        <w:tc>
          <w:tcPr>
            <w:tcW w:w="9497" w:type="dxa"/>
            <w:shd w:val="clear" w:color="auto" w:fill="auto"/>
            <w:vAlign w:val="center"/>
            <w:hideMark/>
          </w:tcPr>
          <w:p w14:paraId="4611467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 standard play/practice facility, Indoor 2 lane training facility used for representative, club and school training (managed by Cricket Wellington). Major outdoor upgrade works underway, including consideration of lighting.</w:t>
            </w:r>
          </w:p>
        </w:tc>
        <w:tc>
          <w:tcPr>
            <w:tcW w:w="1276" w:type="dxa"/>
            <w:shd w:val="clear" w:color="auto" w:fill="auto"/>
            <w:vAlign w:val="center"/>
            <w:hideMark/>
          </w:tcPr>
          <w:p w14:paraId="1FC87DD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644DD4B4" w14:textId="77777777" w:rsidTr="009E2875">
        <w:trPr>
          <w:trHeight w:val="624"/>
        </w:trPr>
        <w:tc>
          <w:tcPr>
            <w:tcW w:w="1134" w:type="dxa"/>
            <w:vMerge/>
          </w:tcPr>
          <w:p w14:paraId="7123B05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auto"/>
            <w:vAlign w:val="center"/>
            <w:hideMark/>
          </w:tcPr>
          <w:p w14:paraId="01311E1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B8D5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Karori Park</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A965A"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5x grass wickets and 6x junior wickets, 3 lane nets, clubrooms and café. Considered potential back-up first class venue for Region.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6EC2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0128A4B" w14:textId="77777777" w:rsidTr="009E2875">
        <w:trPr>
          <w:trHeight w:val="624"/>
        </w:trPr>
        <w:tc>
          <w:tcPr>
            <w:tcW w:w="1134" w:type="dxa"/>
            <w:vMerge/>
            <w:tcBorders>
              <w:bottom w:val="single" w:sz="4" w:space="0" w:color="auto"/>
            </w:tcBorders>
          </w:tcPr>
          <w:p w14:paraId="18E5DD0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bottom w:val="single" w:sz="4" w:space="0" w:color="auto"/>
              <w:right w:val="single" w:sz="4" w:space="0" w:color="auto"/>
            </w:tcBorders>
            <w:shd w:val="clear" w:color="auto" w:fill="auto"/>
            <w:vAlign w:val="center"/>
            <w:hideMark/>
          </w:tcPr>
          <w:p w14:paraId="455C1A2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3F2C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Westpac Stadium</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5A75E"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Large regional/national event venue used for some games. Also, an indoor training facility with 5 lane nets (managed by Cricket Wellington).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28A5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1B396C20" w14:textId="77777777" w:rsidTr="009E2875">
        <w:trPr>
          <w:trHeight w:val="624"/>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5032C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Tennis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9B95D8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745DE5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Renouf Tennis Centre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6F381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6x indoor courts, 14x outdoor courts (floodlit). The Renouf Tennis Centre is the most significant tennis facility in the lower North Island.</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BC6F88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319CFA9" w14:textId="77777777" w:rsidTr="009E2875">
        <w:trPr>
          <w:trHeight w:val="624"/>
        </w:trPr>
        <w:tc>
          <w:tcPr>
            <w:tcW w:w="1134" w:type="dxa"/>
            <w:vMerge w:val="restart"/>
            <w:tcBorders>
              <w:top w:val="single" w:sz="4" w:space="0" w:color="auto"/>
              <w:left w:val="single" w:sz="4" w:space="0" w:color="auto"/>
              <w:right w:val="single" w:sz="4" w:space="0" w:color="auto"/>
            </w:tcBorders>
          </w:tcPr>
          <w:p w14:paraId="04F5BEB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Netball courts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19FE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0810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ASB Sports Centre</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33CD6"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Main regional facility for indoor netball competition. 12x sprung wooden floor. Outdoor half court.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1E6A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0E42B7D" w14:textId="77777777" w:rsidTr="009E2875">
        <w:trPr>
          <w:trHeight w:val="624"/>
        </w:trPr>
        <w:tc>
          <w:tcPr>
            <w:tcW w:w="1134" w:type="dxa"/>
            <w:vMerge/>
            <w:tcBorders>
              <w:left w:val="single" w:sz="4" w:space="0" w:color="auto"/>
              <w:right w:val="single" w:sz="4" w:space="0" w:color="auto"/>
            </w:tcBorders>
          </w:tcPr>
          <w:p w14:paraId="5040551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62B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4C64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Hataitai Park</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74E8F"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14x synthetic courts (also used for tennis) open from Labour Weekend until end of March. Hataitai Park is a Community Sports Hub priority site.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DA9B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0FF463A" w14:textId="77777777" w:rsidTr="009E2875">
        <w:trPr>
          <w:trHeight w:val="624"/>
        </w:trPr>
        <w:tc>
          <w:tcPr>
            <w:tcW w:w="1134" w:type="dxa"/>
            <w:vMerge/>
            <w:tcBorders>
              <w:left w:val="single" w:sz="4" w:space="0" w:color="auto"/>
              <w:bottom w:val="single" w:sz="4" w:space="0" w:color="auto"/>
              <w:right w:val="single" w:sz="4" w:space="0" w:color="auto"/>
            </w:tcBorders>
          </w:tcPr>
          <w:p w14:paraId="7C65572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D0B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D741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TSB Arena</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C891A"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Large event hub for premiere games/international. While indoor it is included here for its significance in the netball network.</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47AF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5B3AA34C" w14:textId="77777777" w:rsidTr="009E2875">
        <w:trPr>
          <w:trHeight w:val="624"/>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3604C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Athletics tracks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60FFF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7483B6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Newtown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91C0A14"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This is the only synthetic athletic track in Wellington City and Region (excluding Wairarapa). There is some lobbying from the athletic community for another synthetic athletic track in the Region.</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BB806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873E15D" w14:textId="77777777" w:rsidTr="009E2875">
        <w:trPr>
          <w:trHeight w:val="624"/>
        </w:trPr>
        <w:tc>
          <w:tcPr>
            <w:tcW w:w="1134" w:type="dxa"/>
            <w:vMerge w:val="restart"/>
            <w:tcBorders>
              <w:top w:val="single" w:sz="4" w:space="0" w:color="auto"/>
              <w:left w:val="single" w:sz="4" w:space="0" w:color="auto"/>
              <w:right w:val="single" w:sz="4" w:space="0" w:color="auto"/>
            </w:tcBorders>
          </w:tcPr>
          <w:p w14:paraId="7397824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Golf</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EF98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7680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Boulcotts Farm Golf</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E2F3B"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24-hole private golf course.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6B2B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Regional </w:t>
            </w:r>
          </w:p>
        </w:tc>
      </w:tr>
      <w:tr w:rsidR="009E2875" w:rsidRPr="009E2875" w14:paraId="04ABD125" w14:textId="77777777" w:rsidTr="009E2875">
        <w:trPr>
          <w:trHeight w:val="624"/>
        </w:trPr>
        <w:tc>
          <w:tcPr>
            <w:tcW w:w="1134" w:type="dxa"/>
            <w:vMerge/>
            <w:tcBorders>
              <w:left w:val="single" w:sz="4" w:space="0" w:color="auto"/>
              <w:right w:val="single" w:sz="4" w:space="0" w:color="auto"/>
            </w:tcBorders>
          </w:tcPr>
          <w:p w14:paraId="20998B6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6718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Kapiti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DD98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Paraparaumu Beach Golf Club</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DE9B4"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18-hole premiere links course, clubrooms, bar, restaurant.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B6EF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14E37CC9" w14:textId="77777777" w:rsidTr="009E2875">
        <w:trPr>
          <w:trHeight w:val="624"/>
        </w:trPr>
        <w:tc>
          <w:tcPr>
            <w:tcW w:w="1134" w:type="dxa"/>
            <w:vMerge/>
            <w:tcBorders>
              <w:left w:val="single" w:sz="4" w:space="0" w:color="auto"/>
              <w:bottom w:val="single" w:sz="4" w:space="0" w:color="auto"/>
              <w:right w:val="single" w:sz="4" w:space="0" w:color="auto"/>
            </w:tcBorders>
          </w:tcPr>
          <w:p w14:paraId="4E8337C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ED39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Upper Hutt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8E21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Royal Wellington Golf Club</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72F3B"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Two courses -18-hole championship Heretaunga Course and 9-hole Terrace Course.  World class practice facilities. Swimming pool onsite.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BA2D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64B23DD9" w14:textId="77777777" w:rsidTr="009E2875">
        <w:trPr>
          <w:trHeight w:val="624"/>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36DA9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Bowls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6D068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A07F6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Naenae Bowls Centre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454148"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Includes Naenae and Park Avenue Bowling Clubs, Naenae RSA and Park Avenue Petanque Club. Developing as a regional centre for bowls. 3x outdoor grass and 1x indoor green. No lights. By other sports facilities on Walter Mildenhall Park.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E621F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3088D3B" w14:textId="77777777" w:rsidTr="009E2875">
        <w:trPr>
          <w:trHeight w:val="624"/>
        </w:trPr>
        <w:tc>
          <w:tcPr>
            <w:tcW w:w="1134" w:type="dxa"/>
            <w:tcBorders>
              <w:top w:val="single" w:sz="4" w:space="0" w:color="auto"/>
              <w:left w:val="single" w:sz="4" w:space="0" w:color="auto"/>
              <w:bottom w:val="single" w:sz="4" w:space="0" w:color="auto"/>
              <w:right w:val="single" w:sz="4" w:space="0" w:color="auto"/>
            </w:tcBorders>
          </w:tcPr>
          <w:p w14:paraId="24FB995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lastRenderedPageBreak/>
              <w:t>Squash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704A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9AD1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Fraser Park Squash Club</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331CF"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3x squash courts, changing rooms and toilets, lounge. An amalgamation with Mitchell Park Squash Club and development of 6 new courts is planned as part of Sportsville development on Fraser Park. Planned sub-regional/regional facility.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AD13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C9CD8FA" w14:textId="77777777" w:rsidTr="009E2875">
        <w:trPr>
          <w:trHeight w:val="624"/>
        </w:trPr>
        <w:tc>
          <w:tcPr>
            <w:tcW w:w="1134" w:type="dxa"/>
            <w:vMerge w:val="restart"/>
            <w:tcBorders>
              <w:top w:val="single" w:sz="4" w:space="0" w:color="auto"/>
              <w:left w:val="single" w:sz="4" w:space="0" w:color="auto"/>
              <w:right w:val="single" w:sz="4" w:space="0" w:color="auto"/>
            </w:tcBorders>
            <w:shd w:val="clear" w:color="auto" w:fill="DEEAF6" w:themeFill="accent5" w:themeFillTint="33"/>
          </w:tcPr>
          <w:p w14:paraId="2A1F0C5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Bike</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2A366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761FD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Wainuiomata BMX Track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8AFDF01"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BMX: Full size competitive track with starting ramp on Hugh Sinclair Park.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0B252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17917AD7"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383CD52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0CAD77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0B8F24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Waiu Park MTB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3480C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MTB: MTB park with numerous tracks from beginner to expert, skills course, links to longer tracks.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33C9E4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6A99AC3"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43224A8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592986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South Wairarapa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3EE76F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Rimutaka Cycle Trail</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E560A96"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PATHS: The approximately 50km section of the Rimutaka Cycle Trail between the Rimutaka Rail Trail Summit and the Wainuiomata Coast Road at Orongorongo.</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5E1132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0EC7FCFB"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73A2F68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D8115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51D823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Hataitai Park Velodrome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819EC8D"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TRACK: Old concrete outdoor velodrome. Receives regular use by PNP Cycling Club but use is relatively low. Hataitai Park is a Community Sports Hub priority site. Facility may receive higher status if track is upgraded and bike use increases.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948BE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85C0E03"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2940D76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4DA1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4809E3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Makara Peak Mountain Bike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542A4B5"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Signature Trail in the Regional Trails Framework.</w:t>
            </w:r>
            <w:r w:rsidRPr="009E2875">
              <w:t xml:space="preserve"> </w:t>
            </w:r>
            <w:r w:rsidRPr="009E2875">
              <w:rPr>
                <w:rFonts w:eastAsia="Times New Roman" w:cstheme="minorHAnsi"/>
                <w:color w:val="000000" w:themeColor="text1"/>
                <w:sz w:val="20"/>
                <w:szCs w:val="20"/>
                <w:lang w:eastAsia="en-NZ"/>
              </w:rPr>
              <w:t xml:space="preserve">MTB: Major MTB Park/network - bike skills, tracks, links to longer tracks. The highest profile MTB park in Region. Often congested at main entries.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B58FD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175CF692"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0E9259F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9125A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nil"/>
              <w:left w:val="nil"/>
              <w:bottom w:val="single" w:sz="4" w:space="0" w:color="auto"/>
              <w:right w:val="single" w:sz="4" w:space="0" w:color="auto"/>
            </w:tcBorders>
            <w:shd w:val="clear" w:color="auto" w:fill="DEEAF6" w:themeFill="accent5" w:themeFillTint="33"/>
            <w:vAlign w:val="center"/>
          </w:tcPr>
          <w:p w14:paraId="1E5E4CD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18"/>
                <w:szCs w:val="18"/>
                <w:lang w:eastAsia="en-NZ"/>
              </w:rPr>
              <w:t>Ian Galloway Park BMX Track</w:t>
            </w:r>
          </w:p>
        </w:tc>
        <w:tc>
          <w:tcPr>
            <w:tcW w:w="9497" w:type="dxa"/>
            <w:tcBorders>
              <w:top w:val="nil"/>
              <w:left w:val="nil"/>
              <w:bottom w:val="single" w:sz="4" w:space="0" w:color="auto"/>
              <w:right w:val="single" w:sz="4" w:space="0" w:color="auto"/>
            </w:tcBorders>
            <w:shd w:val="clear" w:color="auto" w:fill="DEEAF6" w:themeFill="accent5" w:themeFillTint="33"/>
            <w:vAlign w:val="center"/>
          </w:tcPr>
          <w:p w14:paraId="22B781EB"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18"/>
                <w:szCs w:val="18"/>
                <w:u w:val="single"/>
                <w:lang w:eastAsia="en-NZ"/>
              </w:rPr>
              <w:t>BMX</w:t>
            </w:r>
            <w:r w:rsidRPr="009E2875">
              <w:rPr>
                <w:rFonts w:eastAsia="Times New Roman" w:cstheme="minorHAnsi"/>
                <w:color w:val="000000" w:themeColor="text1"/>
                <w:sz w:val="18"/>
                <w:szCs w:val="18"/>
                <w:lang w:eastAsia="en-NZ"/>
              </w:rPr>
              <w:t xml:space="preserve">: 400m UCI international-level BMX track with start gate and bike skills area.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FFE0B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7838517D" w14:textId="77777777" w:rsidTr="009E2875">
        <w:trPr>
          <w:trHeight w:val="624"/>
        </w:trPr>
        <w:tc>
          <w:tcPr>
            <w:tcW w:w="1134" w:type="dxa"/>
            <w:vMerge/>
            <w:tcBorders>
              <w:left w:val="single" w:sz="4" w:space="0" w:color="auto"/>
              <w:bottom w:val="single" w:sz="4" w:space="0" w:color="auto"/>
              <w:right w:val="single" w:sz="4" w:space="0" w:color="auto"/>
            </w:tcBorders>
            <w:shd w:val="clear" w:color="auto" w:fill="DEEAF6" w:themeFill="accent5" w:themeFillTint="33"/>
          </w:tcPr>
          <w:p w14:paraId="646BFF1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266DE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tcBorders>
              <w:top w:val="nil"/>
              <w:left w:val="nil"/>
              <w:bottom w:val="single" w:sz="4" w:space="0" w:color="auto"/>
              <w:right w:val="single" w:sz="4" w:space="0" w:color="auto"/>
            </w:tcBorders>
            <w:shd w:val="clear" w:color="auto" w:fill="DEEAF6" w:themeFill="accent5" w:themeFillTint="33"/>
            <w:vAlign w:val="center"/>
          </w:tcPr>
          <w:p w14:paraId="4352E82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18"/>
                <w:szCs w:val="18"/>
                <w:lang w:eastAsia="en-NZ"/>
              </w:rPr>
              <w:t>Rangituhi MTB Park</w:t>
            </w:r>
          </w:p>
        </w:tc>
        <w:tc>
          <w:tcPr>
            <w:tcW w:w="9497" w:type="dxa"/>
            <w:tcBorders>
              <w:top w:val="nil"/>
              <w:left w:val="nil"/>
              <w:bottom w:val="single" w:sz="4" w:space="0" w:color="auto"/>
              <w:right w:val="single" w:sz="4" w:space="0" w:color="auto"/>
            </w:tcBorders>
            <w:shd w:val="clear" w:color="auto" w:fill="DEEAF6" w:themeFill="accent5" w:themeFillTint="33"/>
            <w:vAlign w:val="center"/>
          </w:tcPr>
          <w:p w14:paraId="5EA0BA3E"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18"/>
                <w:szCs w:val="18"/>
                <w:u w:val="single"/>
                <w:lang w:eastAsia="en-NZ"/>
              </w:rPr>
              <w:t>MTB</w:t>
            </w:r>
            <w:r w:rsidRPr="009E2875">
              <w:rPr>
                <w:rFonts w:eastAsia="Times New Roman" w:cstheme="minorHAnsi"/>
                <w:color w:val="000000" w:themeColor="text1"/>
                <w:sz w:val="18"/>
                <w:szCs w:val="18"/>
                <w:lang w:eastAsia="en-NZ"/>
              </w:rPr>
              <w:t>: Trail network built on Colonial Knob by local biking community. Proposals for further trail-building through a commercial development ('Porirua Adventure Park') which could raise its status.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15BE7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6BF810B" w14:textId="77777777" w:rsidTr="009E2875">
        <w:trPr>
          <w:trHeight w:val="624"/>
        </w:trPr>
        <w:tc>
          <w:tcPr>
            <w:tcW w:w="1134" w:type="dxa"/>
            <w:tcBorders>
              <w:top w:val="single" w:sz="4" w:space="0" w:color="auto"/>
              <w:left w:val="single" w:sz="4" w:space="0" w:color="auto"/>
              <w:bottom w:val="single" w:sz="4" w:space="0" w:color="auto"/>
              <w:right w:val="single" w:sz="4" w:space="0" w:color="auto"/>
            </w:tcBorders>
          </w:tcPr>
          <w:p w14:paraId="239B111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Shooting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B496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Upper Hutt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B575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Trentham Rifle Range Reserve</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2B8E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Hub for shooting sports. Cluster of 4 different ranges (including Seddon Range) and nearby clubroom facilities for National Rifle Association NZ, Trentham Rifle Club, Heretaunga Pistol Club, Trentham Archery Club, Karori Rifle Club, Petone Rifle Club.</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BC84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30ED9406" w14:textId="77777777" w:rsidTr="009E2875">
        <w:trPr>
          <w:trHeight w:val="624"/>
        </w:trPr>
        <w:tc>
          <w:tcPr>
            <w:tcW w:w="1134" w:type="dxa"/>
            <w:vMerge w:val="restart"/>
            <w:tcBorders>
              <w:top w:val="single" w:sz="4" w:space="0" w:color="auto"/>
              <w:left w:val="single" w:sz="4" w:space="0" w:color="auto"/>
              <w:right w:val="single" w:sz="4" w:space="0" w:color="auto"/>
            </w:tcBorders>
            <w:shd w:val="clear" w:color="auto" w:fill="DEEAF6" w:themeFill="accent5" w:themeFillTint="33"/>
          </w:tcPr>
          <w:p w14:paraId="2BC66BB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Artificial turfs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2055D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1897EE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Fraser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2D56810"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Hub facility including 1x Rugby/Football turf with lights, 1.5x hockey turf, 1x softball diamond infield</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005FDF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6ECB76EE"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25547E2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794F9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9EEA25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Memorial Park (Petone)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2D647E2"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size football turf with lights. Owned/managed by Capital Football.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1907B0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3635B7A"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0E9E70B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tcPr>
          <w:p w14:paraId="6F55DCE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ascii="Calibri" w:hAnsi="Calibri" w:cs="Calibri"/>
                <w:color w:val="000000"/>
                <w:sz w:val="20"/>
                <w:szCs w:val="20"/>
              </w:rPr>
              <w:t>Carterton </w:t>
            </w:r>
            <w:r w:rsidRPr="009E2875">
              <w:rPr>
                <w:rFonts w:ascii="Calibri" w:hAnsi="Calibri" w:cs="Calibri"/>
                <w:sz w:val="20"/>
                <w:szCs w:val="20"/>
              </w:rPr>
              <w:t> </w:t>
            </w:r>
          </w:p>
        </w:tc>
        <w:tc>
          <w:tcPr>
            <w:tcW w:w="1701"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tcPr>
          <w:p w14:paraId="4C07DF3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ascii="Calibri" w:hAnsi="Calibri" w:cs="Calibri"/>
                <w:color w:val="000000"/>
                <w:sz w:val="20"/>
                <w:szCs w:val="20"/>
              </w:rPr>
              <w:t>Trust House Turfs</w:t>
            </w:r>
            <w:r w:rsidRPr="009E2875">
              <w:rPr>
                <w:rFonts w:ascii="Calibri" w:hAnsi="Calibri" w:cs="Calibri"/>
                <w:sz w:val="20"/>
                <w:szCs w:val="20"/>
              </w:rPr>
              <w:t> </w:t>
            </w:r>
          </w:p>
        </w:tc>
        <w:tc>
          <w:tcPr>
            <w:tcW w:w="9497"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tcPr>
          <w:p w14:paraId="650AE01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ascii="Calibri" w:hAnsi="Calibri" w:cs="Calibri"/>
                <w:color w:val="000000"/>
                <w:sz w:val="20"/>
                <w:szCs w:val="20"/>
              </w:rPr>
              <w:t xml:space="preserve">2 x national standard hockey turfs at the Wairarapa A&amp;P Clareville Complex. Hockey Wairarapa based there. Has been used for international games. </w:t>
            </w:r>
          </w:p>
        </w:tc>
        <w:tc>
          <w:tcPr>
            <w:tcW w:w="1276" w:type="dxa"/>
            <w:tcBorders>
              <w:top w:val="single" w:sz="6" w:space="0" w:color="auto"/>
              <w:left w:val="single" w:sz="6" w:space="0" w:color="auto"/>
              <w:bottom w:val="single" w:sz="6" w:space="0" w:color="auto"/>
              <w:right w:val="single" w:sz="6" w:space="0" w:color="auto"/>
            </w:tcBorders>
            <w:shd w:val="clear" w:color="auto" w:fill="DEEAF6" w:themeFill="accent5" w:themeFillTint="33"/>
            <w:vAlign w:val="center"/>
          </w:tcPr>
          <w:p w14:paraId="6D43215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ascii="Calibri" w:hAnsi="Calibri" w:cs="Calibri"/>
                <w:color w:val="000000"/>
                <w:sz w:val="20"/>
                <w:szCs w:val="20"/>
              </w:rPr>
              <w:t>National</w:t>
            </w:r>
            <w:r w:rsidRPr="009E2875">
              <w:rPr>
                <w:rFonts w:ascii="Calibri" w:hAnsi="Calibri" w:cs="Calibri"/>
                <w:sz w:val="20"/>
                <w:szCs w:val="20"/>
              </w:rPr>
              <w:t> </w:t>
            </w:r>
          </w:p>
        </w:tc>
      </w:tr>
      <w:tr w:rsidR="009E2875" w:rsidRPr="009E2875" w14:paraId="459053E7"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55B932C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CDF00B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Kapiti</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22B84A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Coastlands Kapiti Sports Turf</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A8D1DDC"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Hockey water turf with flood lights and pavilion facility with viewing deck. Used for hockey, football and rugby. Some national hockey events.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2BF724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0E5EE642"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4CEFA8A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125B91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F3A06C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Ascot Park (Bernie Wood)</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224028"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artificial field for rugby/football, full competition and training lights.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D0405C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E1BF944"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69B43D9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2AB3B2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Porirua</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E09C9B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Elsdon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8D7829"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artificial hockey turf, full competition and training lights.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647733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AEE38A4"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1236A25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4FD8D3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Upper Hutt</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E201D2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Maidstone Park Hockey</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10B194A"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artificial hockey turf, 1x full football/rugby turf, half turf for warm-up, lights, electronic score board.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D6079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5B8F2E57"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1FFFF76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C2B56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DB731B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Alex Moore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FA79B7"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artificial field with lighting, used mainly for football and softball.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F1C4BA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0EFD5A87"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1EF1B64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EB2A4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DC2714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 Hockey Stadium</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780E8E4"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3x full size hockey turfs - the 3rd turf opened in 2017.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7357D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International</w:t>
            </w:r>
          </w:p>
        </w:tc>
      </w:tr>
      <w:tr w:rsidR="009E2875" w:rsidRPr="009E2875" w14:paraId="13ADE1FB"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28869FD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FAF012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7CC0D4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St Patrick's College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A267460"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size field mainly used for football, rugby and junior cricket.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04B4BF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0DED7C5E"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10C303E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7A2EE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6545C7"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Te Whaea</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E32CD8B"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full artificial field mainly used for football and rugby.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E0416D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7F81631" w14:textId="77777777" w:rsidTr="009E2875">
        <w:trPr>
          <w:trHeight w:val="624"/>
        </w:trPr>
        <w:tc>
          <w:tcPr>
            <w:tcW w:w="1134" w:type="dxa"/>
            <w:vMerge/>
            <w:tcBorders>
              <w:left w:val="single" w:sz="4" w:space="0" w:color="auto"/>
              <w:right w:val="single" w:sz="4" w:space="0" w:color="auto"/>
            </w:tcBorders>
            <w:shd w:val="clear" w:color="auto" w:fill="DEEAF6" w:themeFill="accent5" w:themeFillTint="33"/>
          </w:tcPr>
          <w:p w14:paraId="6AC8ED7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4A43A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12F0B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Wakefield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EAA0834"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2x full size artificial fields - mainly used for football and touch.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C099DD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0BF2F61D" w14:textId="77777777" w:rsidTr="009E2875">
        <w:trPr>
          <w:trHeight w:val="624"/>
        </w:trPr>
        <w:tc>
          <w:tcPr>
            <w:tcW w:w="1134" w:type="dxa"/>
            <w:vMerge/>
            <w:tcBorders>
              <w:left w:val="single" w:sz="4" w:space="0" w:color="auto"/>
              <w:bottom w:val="single" w:sz="4" w:space="0" w:color="auto"/>
              <w:right w:val="single" w:sz="4" w:space="0" w:color="auto"/>
            </w:tcBorders>
            <w:shd w:val="clear" w:color="auto" w:fill="DEEAF6" w:themeFill="accent5" w:themeFillTint="33"/>
          </w:tcPr>
          <w:p w14:paraId="037849A5"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8ADEB8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331507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 College</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5E7D3F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1x artificial rugby/football field, also separate artificial multiuse surface with 4x tennis courts, lighting.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9BABD0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84B3ED2" w14:textId="77777777" w:rsidTr="009E2875">
        <w:trPr>
          <w:trHeight w:val="624"/>
        </w:trPr>
        <w:tc>
          <w:tcPr>
            <w:tcW w:w="1134" w:type="dxa"/>
            <w:vMerge w:val="restart"/>
            <w:tcBorders>
              <w:top w:val="single" w:sz="4" w:space="0" w:color="auto"/>
              <w:left w:val="single" w:sz="4" w:space="0" w:color="auto"/>
              <w:right w:val="single" w:sz="4" w:space="0" w:color="auto"/>
            </w:tcBorders>
          </w:tcPr>
          <w:p w14:paraId="02D8631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Specialised indoor venues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F52A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F24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Basin Reserve Indoor Cricket</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5EA02"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INDOOR TRAINING: Indoor cricket training facility at international standard cricket venue.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F227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3529D9BC" w14:textId="77777777" w:rsidTr="009E2875">
        <w:trPr>
          <w:trHeight w:val="624"/>
        </w:trPr>
        <w:tc>
          <w:tcPr>
            <w:tcW w:w="1134" w:type="dxa"/>
            <w:vMerge/>
            <w:tcBorders>
              <w:left w:val="single" w:sz="4" w:space="0" w:color="auto"/>
              <w:right w:val="single" w:sz="4" w:space="0" w:color="auto"/>
            </w:tcBorders>
          </w:tcPr>
          <w:p w14:paraId="79B5F29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7EE02"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29F4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Kilbirnie Recreation Centre</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4B3B2"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ROLLERSPORTS: Large hall dedicated to indoor roller sports, located by the Wellington Aquatic Centre; Toitu Poneke Sports Hub and Kilbirnie Park sports fields. Few dedicated venues in the region, with some hire-use of sports gyms and halls for events. Regional status here due to its uniqueness as dedicated venue. Requires earthquake strengthening.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E6BC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2940DCDF" w14:textId="77777777" w:rsidTr="009E2875">
        <w:trPr>
          <w:trHeight w:val="624"/>
        </w:trPr>
        <w:tc>
          <w:tcPr>
            <w:tcW w:w="1134" w:type="dxa"/>
            <w:vMerge/>
            <w:tcBorders>
              <w:left w:val="single" w:sz="4" w:space="0" w:color="auto"/>
              <w:right w:val="single" w:sz="4" w:space="0" w:color="auto"/>
            </w:tcBorders>
          </w:tcPr>
          <w:p w14:paraId="2192D85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3442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B246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Renouf Tennis Centre</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043C9"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TENNIS: 6x indoor courts, 14x outdoor courts (floodlit). The Renouf Tennis Centre is the most significant tennis facility in the lower North Island.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52A9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3BB3E45B" w14:textId="77777777" w:rsidTr="009E2875">
        <w:trPr>
          <w:trHeight w:val="624"/>
        </w:trPr>
        <w:tc>
          <w:tcPr>
            <w:tcW w:w="1134" w:type="dxa"/>
            <w:vMerge/>
            <w:tcBorders>
              <w:left w:val="single" w:sz="4" w:space="0" w:color="auto"/>
              <w:bottom w:val="single" w:sz="4" w:space="0" w:color="auto"/>
              <w:right w:val="single" w:sz="4" w:space="0" w:color="auto"/>
            </w:tcBorders>
          </w:tcPr>
          <w:p w14:paraId="3866246A"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FC25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F303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Westpac Stadium Indoor Cricket</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87E33"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INDOOR TRAINING: Indoor cricket training facility at international event venue.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E3F6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7B52D6AB" w14:textId="77777777" w:rsidTr="009E2875">
        <w:trPr>
          <w:trHeight w:val="624"/>
        </w:trPr>
        <w:tc>
          <w:tcPr>
            <w:tcW w:w="1134" w:type="dxa"/>
            <w:vMerge w:val="restart"/>
            <w:tcBorders>
              <w:top w:val="single" w:sz="4" w:space="0" w:color="auto"/>
              <w:left w:val="single" w:sz="4" w:space="0" w:color="auto"/>
              <w:right w:val="single" w:sz="4" w:space="0" w:color="auto"/>
            </w:tcBorders>
            <w:shd w:val="clear" w:color="auto" w:fill="DEEAF6" w:themeFill="accent5" w:themeFillTint="33"/>
          </w:tcPr>
          <w:p w14:paraId="7F4C53E4"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Softball</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3B540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5146B3D"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Fraser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62C7F1"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1 x artificial, 2x skin, and 3x grass diamonds.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9D5F0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National</w:t>
            </w:r>
          </w:p>
        </w:tc>
      </w:tr>
      <w:tr w:rsidR="009E2875" w:rsidRPr="009E2875" w14:paraId="73CC4463" w14:textId="77777777" w:rsidTr="009E2875">
        <w:trPr>
          <w:trHeight w:val="624"/>
        </w:trPr>
        <w:tc>
          <w:tcPr>
            <w:tcW w:w="1134" w:type="dxa"/>
            <w:vMerge/>
            <w:tcBorders>
              <w:left w:val="single" w:sz="4" w:space="0" w:color="auto"/>
              <w:bottom w:val="single" w:sz="4" w:space="0" w:color="auto"/>
              <w:right w:val="single" w:sz="4" w:space="0" w:color="auto"/>
            </w:tcBorders>
            <w:shd w:val="clear" w:color="auto" w:fill="DEEAF6" w:themeFill="accent5" w:themeFillTint="33"/>
          </w:tcPr>
          <w:p w14:paraId="3402637F"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AAFBEE6"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33B6D8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Hataitai Park</w:t>
            </w:r>
          </w:p>
        </w:tc>
        <w:tc>
          <w:tcPr>
            <w:tcW w:w="94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9E48936"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 xml:space="preserve">2x skin and 1x grass diamonds, viewing stands, lights as part of community sports hub area.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F70C1EC"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4AE9982E" w14:textId="77777777" w:rsidTr="009E2875">
        <w:trPr>
          <w:trHeight w:val="624"/>
        </w:trPr>
        <w:tc>
          <w:tcPr>
            <w:tcW w:w="1134" w:type="dxa"/>
            <w:vMerge w:val="restart"/>
            <w:tcBorders>
              <w:top w:val="single" w:sz="4" w:space="0" w:color="auto"/>
              <w:left w:val="single" w:sz="4" w:space="0" w:color="auto"/>
              <w:right w:val="single" w:sz="4" w:space="0" w:color="auto"/>
            </w:tcBorders>
          </w:tcPr>
          <w:p w14:paraId="7E68790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Outdoor water sports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72310"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Hutt City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8CE7E"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Seaview Marina</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67BA9"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Marina with 300+ berths, hardstand, boat launching and small craft sailing area. Complementary businesses also co-located.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2CB99"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r w:rsidR="009E2875" w:rsidRPr="009E2875" w14:paraId="18C36DCF" w14:textId="77777777" w:rsidTr="009E2875">
        <w:trPr>
          <w:trHeight w:val="624"/>
        </w:trPr>
        <w:tc>
          <w:tcPr>
            <w:tcW w:w="1134" w:type="dxa"/>
            <w:vMerge/>
            <w:tcBorders>
              <w:left w:val="single" w:sz="4" w:space="0" w:color="auto"/>
              <w:bottom w:val="single" w:sz="4" w:space="0" w:color="auto"/>
              <w:right w:val="single" w:sz="4" w:space="0" w:color="auto"/>
            </w:tcBorders>
          </w:tcPr>
          <w:p w14:paraId="7E7FF041"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0DBC3"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Wellington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7BEB"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Chaffers Marina</w:t>
            </w:r>
          </w:p>
        </w:tc>
        <w:tc>
          <w:tcPr>
            <w:tcW w:w="9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DA311" w14:textId="77777777" w:rsidR="009E2875" w:rsidRPr="009E2875" w:rsidRDefault="009E2875" w:rsidP="009E2875">
            <w:pPr>
              <w:spacing w:after="0" w:line="240" w:lineRule="auto"/>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Floating marina in Central City. Deep-water site with large berths and a comprehensive range of facilities and amenities. Adjacent to Clyde Quay Boat Harbour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57B98" w14:textId="77777777" w:rsidR="009E2875" w:rsidRPr="009E2875" w:rsidRDefault="009E2875" w:rsidP="009E2875">
            <w:pPr>
              <w:spacing w:after="0" w:line="240" w:lineRule="auto"/>
              <w:jc w:val="center"/>
              <w:rPr>
                <w:rFonts w:eastAsia="Times New Roman" w:cstheme="minorHAnsi"/>
                <w:color w:val="000000" w:themeColor="text1"/>
                <w:sz w:val="20"/>
                <w:szCs w:val="20"/>
                <w:lang w:eastAsia="en-NZ"/>
              </w:rPr>
            </w:pPr>
            <w:r w:rsidRPr="009E2875">
              <w:rPr>
                <w:rFonts w:eastAsia="Times New Roman" w:cstheme="minorHAnsi"/>
                <w:color w:val="000000" w:themeColor="text1"/>
                <w:sz w:val="20"/>
                <w:szCs w:val="20"/>
                <w:lang w:eastAsia="en-NZ"/>
              </w:rPr>
              <w:t>Regional</w:t>
            </w:r>
          </w:p>
        </w:tc>
      </w:tr>
    </w:tbl>
    <w:p w14:paraId="73CB81CF" w14:textId="77777777" w:rsidR="001D055C" w:rsidRPr="001D055C" w:rsidRDefault="001D055C" w:rsidP="009E2875">
      <w:pPr>
        <w:spacing w:before="120" w:after="120" w:line="300" w:lineRule="atLeast"/>
        <w:rPr>
          <w:rFonts w:cstheme="minorHAnsi"/>
          <w:sz w:val="20"/>
          <w:szCs w:val="20"/>
        </w:rPr>
      </w:pPr>
    </w:p>
    <w:p w14:paraId="75247D0B" w14:textId="6DADFD8F" w:rsidR="002338EE" w:rsidRDefault="002338EE">
      <w:pPr>
        <w:rPr>
          <w:rFonts w:ascii="Arial Rounded MT Bold" w:hAnsi="Arial Rounded MT Bold"/>
          <w:color w:val="2F5496" w:themeColor="accent1" w:themeShade="BF"/>
          <w:sz w:val="28"/>
          <w:szCs w:val="28"/>
        </w:rPr>
      </w:pPr>
    </w:p>
    <w:p w14:paraId="28D151CF" w14:textId="45B88922" w:rsidR="00E17BBE" w:rsidRDefault="00E17BBE">
      <w:pPr>
        <w:rPr>
          <w:rFonts w:ascii="Arial Rounded MT Bold" w:hAnsi="Arial Rounded MT Bold"/>
          <w:color w:val="2F5496" w:themeColor="accent1" w:themeShade="BF"/>
          <w:sz w:val="28"/>
          <w:szCs w:val="28"/>
        </w:rPr>
      </w:pPr>
    </w:p>
    <w:p w14:paraId="5371AED5" w14:textId="4B4D0BED" w:rsidR="00E17BBE" w:rsidRDefault="00E17BBE">
      <w:pPr>
        <w:rPr>
          <w:rFonts w:ascii="Arial Rounded MT Bold" w:hAnsi="Arial Rounded MT Bold"/>
          <w:color w:val="2F5496" w:themeColor="accent1" w:themeShade="BF"/>
          <w:sz w:val="28"/>
          <w:szCs w:val="28"/>
        </w:rPr>
      </w:pPr>
    </w:p>
    <w:p w14:paraId="65CF682D" w14:textId="77777777" w:rsidR="00E17BBE" w:rsidRDefault="00E17BBE">
      <w:pPr>
        <w:rPr>
          <w:rFonts w:ascii="Arial Rounded MT Bold" w:hAnsi="Arial Rounded MT Bold"/>
          <w:color w:val="2F5496" w:themeColor="accent1" w:themeShade="BF"/>
          <w:sz w:val="28"/>
          <w:szCs w:val="28"/>
        </w:rPr>
      </w:pPr>
    </w:p>
    <w:p w14:paraId="4F2345CE" w14:textId="77777777" w:rsidR="002338EE" w:rsidRPr="002338EE" w:rsidRDefault="002338EE" w:rsidP="002338EE">
      <w:pPr>
        <w:rPr>
          <w:rFonts w:ascii="Arial Rounded MT Bold" w:hAnsi="Arial Rounded MT Bold"/>
          <w:color w:val="2F5496" w:themeColor="accent1" w:themeShade="BF"/>
          <w:sz w:val="28"/>
          <w:szCs w:val="28"/>
        </w:rPr>
      </w:pPr>
    </w:p>
    <w:p w14:paraId="13DDFC9F" w14:textId="60DC6175" w:rsidR="002338EE" w:rsidRPr="002338EE" w:rsidRDefault="002338EE" w:rsidP="002338EE">
      <w:pPr>
        <w:rPr>
          <w:rFonts w:ascii="Arial Rounded MT Bold" w:hAnsi="Arial Rounded MT Bold"/>
          <w:color w:val="2F5496" w:themeColor="accent1" w:themeShade="BF"/>
          <w:sz w:val="28"/>
          <w:szCs w:val="28"/>
        </w:rPr>
      </w:pPr>
    </w:p>
    <w:p w14:paraId="01640CA5" w14:textId="77777777" w:rsidR="005D08D3" w:rsidRPr="005D08D3" w:rsidRDefault="005D08D3" w:rsidP="002338EE">
      <w:pPr>
        <w:spacing w:before="120" w:after="0" w:line="240" w:lineRule="atLeast"/>
        <w:jc w:val="both"/>
        <w:rPr>
          <w:rFonts w:ascii="Arial Rounded MT Bold" w:hAnsi="Arial Rounded MT Bold"/>
          <w:color w:val="2F5496" w:themeColor="accent1" w:themeShade="BF"/>
          <w:sz w:val="20"/>
          <w:szCs w:val="20"/>
        </w:rPr>
      </w:pPr>
    </w:p>
    <w:sectPr w:rsidR="005D08D3" w:rsidRPr="005D08D3" w:rsidSect="00A73600">
      <w:headerReference w:type="default" r:id="rId38"/>
      <w:footerReference w:type="default" r:id="rId39"/>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B33DF" w14:textId="77777777" w:rsidR="00A96FDF" w:rsidRDefault="00A96FDF" w:rsidP="008A1E8B">
      <w:pPr>
        <w:spacing w:after="0" w:line="240" w:lineRule="auto"/>
      </w:pPr>
      <w:r>
        <w:separator/>
      </w:r>
    </w:p>
  </w:endnote>
  <w:endnote w:type="continuationSeparator" w:id="0">
    <w:p w14:paraId="49AD814C" w14:textId="77777777" w:rsidR="00A96FDF" w:rsidRDefault="00A96FDF" w:rsidP="008A1E8B">
      <w:pPr>
        <w:spacing w:after="0" w:line="240" w:lineRule="auto"/>
      </w:pPr>
      <w:r>
        <w:continuationSeparator/>
      </w:r>
    </w:p>
  </w:endnote>
  <w:endnote w:type="continuationNotice" w:id="1">
    <w:p w14:paraId="3F515E58" w14:textId="77777777" w:rsidR="00A96FDF" w:rsidRDefault="00A96F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163173"/>
      <w:docPartObj>
        <w:docPartGallery w:val="Page Numbers (Bottom of Page)"/>
        <w:docPartUnique/>
      </w:docPartObj>
    </w:sdtPr>
    <w:sdtEndPr>
      <w:rPr>
        <w:noProof/>
        <w:sz w:val="16"/>
        <w:szCs w:val="16"/>
      </w:rPr>
    </w:sdtEndPr>
    <w:sdtContent>
      <w:p w14:paraId="64A3D422" w14:textId="416DA7A9" w:rsidR="009E2875" w:rsidRPr="008A1E8B" w:rsidRDefault="009E2875">
        <w:pPr>
          <w:pStyle w:val="Footer"/>
          <w:jc w:val="right"/>
          <w:rPr>
            <w:sz w:val="16"/>
            <w:szCs w:val="16"/>
          </w:rPr>
        </w:pPr>
        <w:r w:rsidRPr="008A1E8B">
          <w:rPr>
            <w:sz w:val="16"/>
            <w:szCs w:val="16"/>
          </w:rPr>
          <w:fldChar w:fldCharType="begin"/>
        </w:r>
        <w:r w:rsidRPr="008A1E8B">
          <w:rPr>
            <w:sz w:val="16"/>
            <w:szCs w:val="16"/>
          </w:rPr>
          <w:instrText xml:space="preserve"> PAGE   \* MERGEFORMAT </w:instrText>
        </w:r>
        <w:r w:rsidRPr="008A1E8B">
          <w:rPr>
            <w:sz w:val="16"/>
            <w:szCs w:val="16"/>
          </w:rPr>
          <w:fldChar w:fldCharType="separate"/>
        </w:r>
        <w:r w:rsidRPr="008A1E8B">
          <w:rPr>
            <w:noProof/>
            <w:sz w:val="16"/>
            <w:szCs w:val="16"/>
          </w:rPr>
          <w:t>2</w:t>
        </w:r>
        <w:r w:rsidRPr="008A1E8B">
          <w:rPr>
            <w:noProof/>
            <w:sz w:val="16"/>
            <w:szCs w:val="16"/>
          </w:rPr>
          <w:fldChar w:fldCharType="end"/>
        </w:r>
      </w:p>
    </w:sdtContent>
  </w:sdt>
  <w:p w14:paraId="3F48D4C9" w14:textId="77777777" w:rsidR="009E2875" w:rsidRDefault="009E2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1AE91" w14:textId="77777777" w:rsidR="00A96FDF" w:rsidRDefault="00A96FDF" w:rsidP="008A1E8B">
      <w:pPr>
        <w:spacing w:after="0" w:line="240" w:lineRule="auto"/>
      </w:pPr>
      <w:r>
        <w:separator/>
      </w:r>
    </w:p>
  </w:footnote>
  <w:footnote w:type="continuationSeparator" w:id="0">
    <w:p w14:paraId="47713699" w14:textId="77777777" w:rsidR="00A96FDF" w:rsidRDefault="00A96FDF" w:rsidP="008A1E8B">
      <w:pPr>
        <w:spacing w:after="0" w:line="240" w:lineRule="auto"/>
      </w:pPr>
      <w:r>
        <w:continuationSeparator/>
      </w:r>
    </w:p>
  </w:footnote>
  <w:footnote w:type="continuationNotice" w:id="1">
    <w:p w14:paraId="3D3F73B8" w14:textId="77777777" w:rsidR="00A96FDF" w:rsidRDefault="00A96F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150F" w14:textId="31D0935F" w:rsidR="009E2875" w:rsidRDefault="009E2875" w:rsidP="008A1E8B">
    <w:pPr>
      <w:pStyle w:val="Header"/>
      <w:jc w:val="right"/>
    </w:pPr>
    <w:r>
      <w:rPr>
        <w:noProof/>
      </w:rPr>
      <w:drawing>
        <wp:inline distT="0" distB="0" distL="0" distR="0" wp14:anchorId="3FFA1881" wp14:editId="7F4FEA1D">
          <wp:extent cx="951911" cy="375347"/>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581" cy="404790"/>
                  </a:xfrm>
                  <a:prstGeom prst="rect">
                    <a:avLst/>
                  </a:prstGeom>
                  <a:noFill/>
                  <a:ln>
                    <a:noFill/>
                  </a:ln>
                </pic:spPr>
              </pic:pic>
            </a:graphicData>
          </a:graphic>
        </wp:inline>
      </w:drawing>
    </w:r>
  </w:p>
  <w:p w14:paraId="4E926CC4" w14:textId="77777777" w:rsidR="009E2875" w:rsidRDefault="009E2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50F8"/>
    <w:multiLevelType w:val="hybridMultilevel"/>
    <w:tmpl w:val="F776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C116D7F"/>
    <w:multiLevelType w:val="hybridMultilevel"/>
    <w:tmpl w:val="F9A84276"/>
    <w:lvl w:ilvl="0" w:tplc="3184EE56">
      <w:start w:val="1"/>
      <w:numFmt w:val="bullet"/>
      <w:lvlText w:val="•"/>
      <w:lvlJc w:val="left"/>
      <w:pPr>
        <w:tabs>
          <w:tab w:val="num" w:pos="720"/>
        </w:tabs>
        <w:ind w:left="720" w:hanging="360"/>
      </w:pPr>
      <w:rPr>
        <w:rFonts w:ascii="Times New Roman" w:hAnsi="Times New Roman" w:hint="default"/>
      </w:rPr>
    </w:lvl>
    <w:lvl w:ilvl="1" w:tplc="D86C29FA" w:tentative="1">
      <w:start w:val="1"/>
      <w:numFmt w:val="bullet"/>
      <w:lvlText w:val="•"/>
      <w:lvlJc w:val="left"/>
      <w:pPr>
        <w:tabs>
          <w:tab w:val="num" w:pos="1440"/>
        </w:tabs>
        <w:ind w:left="1440" w:hanging="360"/>
      </w:pPr>
      <w:rPr>
        <w:rFonts w:ascii="Times New Roman" w:hAnsi="Times New Roman" w:hint="default"/>
      </w:rPr>
    </w:lvl>
    <w:lvl w:ilvl="2" w:tplc="C5FE5814" w:tentative="1">
      <w:start w:val="1"/>
      <w:numFmt w:val="bullet"/>
      <w:lvlText w:val="•"/>
      <w:lvlJc w:val="left"/>
      <w:pPr>
        <w:tabs>
          <w:tab w:val="num" w:pos="2160"/>
        </w:tabs>
        <w:ind w:left="2160" w:hanging="360"/>
      </w:pPr>
      <w:rPr>
        <w:rFonts w:ascii="Times New Roman" w:hAnsi="Times New Roman" w:hint="default"/>
      </w:rPr>
    </w:lvl>
    <w:lvl w:ilvl="3" w:tplc="63BEDD30" w:tentative="1">
      <w:start w:val="1"/>
      <w:numFmt w:val="bullet"/>
      <w:lvlText w:val="•"/>
      <w:lvlJc w:val="left"/>
      <w:pPr>
        <w:tabs>
          <w:tab w:val="num" w:pos="2880"/>
        </w:tabs>
        <w:ind w:left="2880" w:hanging="360"/>
      </w:pPr>
      <w:rPr>
        <w:rFonts w:ascii="Times New Roman" w:hAnsi="Times New Roman" w:hint="default"/>
      </w:rPr>
    </w:lvl>
    <w:lvl w:ilvl="4" w:tplc="F92A5940" w:tentative="1">
      <w:start w:val="1"/>
      <w:numFmt w:val="bullet"/>
      <w:lvlText w:val="•"/>
      <w:lvlJc w:val="left"/>
      <w:pPr>
        <w:tabs>
          <w:tab w:val="num" w:pos="3600"/>
        </w:tabs>
        <w:ind w:left="3600" w:hanging="360"/>
      </w:pPr>
      <w:rPr>
        <w:rFonts w:ascii="Times New Roman" w:hAnsi="Times New Roman" w:hint="default"/>
      </w:rPr>
    </w:lvl>
    <w:lvl w:ilvl="5" w:tplc="5EA6A494" w:tentative="1">
      <w:start w:val="1"/>
      <w:numFmt w:val="bullet"/>
      <w:lvlText w:val="•"/>
      <w:lvlJc w:val="left"/>
      <w:pPr>
        <w:tabs>
          <w:tab w:val="num" w:pos="4320"/>
        </w:tabs>
        <w:ind w:left="4320" w:hanging="360"/>
      </w:pPr>
      <w:rPr>
        <w:rFonts w:ascii="Times New Roman" w:hAnsi="Times New Roman" w:hint="default"/>
      </w:rPr>
    </w:lvl>
    <w:lvl w:ilvl="6" w:tplc="5AA4BC72" w:tentative="1">
      <w:start w:val="1"/>
      <w:numFmt w:val="bullet"/>
      <w:lvlText w:val="•"/>
      <w:lvlJc w:val="left"/>
      <w:pPr>
        <w:tabs>
          <w:tab w:val="num" w:pos="5040"/>
        </w:tabs>
        <w:ind w:left="5040" w:hanging="360"/>
      </w:pPr>
      <w:rPr>
        <w:rFonts w:ascii="Times New Roman" w:hAnsi="Times New Roman" w:hint="default"/>
      </w:rPr>
    </w:lvl>
    <w:lvl w:ilvl="7" w:tplc="02B2B5BE" w:tentative="1">
      <w:start w:val="1"/>
      <w:numFmt w:val="bullet"/>
      <w:lvlText w:val="•"/>
      <w:lvlJc w:val="left"/>
      <w:pPr>
        <w:tabs>
          <w:tab w:val="num" w:pos="5760"/>
        </w:tabs>
        <w:ind w:left="5760" w:hanging="360"/>
      </w:pPr>
      <w:rPr>
        <w:rFonts w:ascii="Times New Roman" w:hAnsi="Times New Roman" w:hint="default"/>
      </w:rPr>
    </w:lvl>
    <w:lvl w:ilvl="8" w:tplc="B2F4E21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EE58BB"/>
    <w:multiLevelType w:val="hybridMultilevel"/>
    <w:tmpl w:val="856AB8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83F549C"/>
    <w:multiLevelType w:val="hybridMultilevel"/>
    <w:tmpl w:val="4D704EBE"/>
    <w:lvl w:ilvl="0" w:tplc="F39AF4FE">
      <w:start w:val="1"/>
      <w:numFmt w:val="decimal"/>
      <w:lvlText w:val="%1."/>
      <w:lvlJc w:val="left"/>
      <w:pPr>
        <w:ind w:left="360" w:hanging="360"/>
      </w:pPr>
      <w:rPr>
        <w:b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3832B87"/>
    <w:multiLevelType w:val="hybridMultilevel"/>
    <w:tmpl w:val="4650D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75426F7"/>
    <w:multiLevelType w:val="hybridMultilevel"/>
    <w:tmpl w:val="58EEFC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C5105BC"/>
    <w:multiLevelType w:val="hybridMultilevel"/>
    <w:tmpl w:val="511AD7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8B"/>
    <w:rsid w:val="000019AF"/>
    <w:rsid w:val="00033A5C"/>
    <w:rsid w:val="00055319"/>
    <w:rsid w:val="0007246C"/>
    <w:rsid w:val="000A0AEE"/>
    <w:rsid w:val="000C3F7A"/>
    <w:rsid w:val="000C47F4"/>
    <w:rsid w:val="000D2723"/>
    <w:rsid w:val="000D773A"/>
    <w:rsid w:val="00101E33"/>
    <w:rsid w:val="00154696"/>
    <w:rsid w:val="00173631"/>
    <w:rsid w:val="001745AB"/>
    <w:rsid w:val="001D055C"/>
    <w:rsid w:val="001E287D"/>
    <w:rsid w:val="001E53A4"/>
    <w:rsid w:val="0021018D"/>
    <w:rsid w:val="0021184C"/>
    <w:rsid w:val="00220D9B"/>
    <w:rsid w:val="002338EE"/>
    <w:rsid w:val="0025498B"/>
    <w:rsid w:val="0026251F"/>
    <w:rsid w:val="002661EE"/>
    <w:rsid w:val="00271400"/>
    <w:rsid w:val="002E2CF3"/>
    <w:rsid w:val="002F28F3"/>
    <w:rsid w:val="00305A79"/>
    <w:rsid w:val="003071D8"/>
    <w:rsid w:val="00375988"/>
    <w:rsid w:val="003864BF"/>
    <w:rsid w:val="003B6859"/>
    <w:rsid w:val="00431CEB"/>
    <w:rsid w:val="004676C4"/>
    <w:rsid w:val="00482D6C"/>
    <w:rsid w:val="00525EFB"/>
    <w:rsid w:val="00531E28"/>
    <w:rsid w:val="0053583E"/>
    <w:rsid w:val="005756E1"/>
    <w:rsid w:val="005D08D3"/>
    <w:rsid w:val="005D787D"/>
    <w:rsid w:val="005F0C05"/>
    <w:rsid w:val="0060502B"/>
    <w:rsid w:val="0060511E"/>
    <w:rsid w:val="006301A8"/>
    <w:rsid w:val="00642375"/>
    <w:rsid w:val="00650871"/>
    <w:rsid w:val="006A47E7"/>
    <w:rsid w:val="006A5BF8"/>
    <w:rsid w:val="006A7D6D"/>
    <w:rsid w:val="006B29C0"/>
    <w:rsid w:val="006D1745"/>
    <w:rsid w:val="006D3794"/>
    <w:rsid w:val="00713AC4"/>
    <w:rsid w:val="00730D15"/>
    <w:rsid w:val="007824E9"/>
    <w:rsid w:val="007B61A7"/>
    <w:rsid w:val="007D67EC"/>
    <w:rsid w:val="00814F6A"/>
    <w:rsid w:val="0081785D"/>
    <w:rsid w:val="0085501C"/>
    <w:rsid w:val="00855251"/>
    <w:rsid w:val="008A1E8B"/>
    <w:rsid w:val="008A60D1"/>
    <w:rsid w:val="008C4ED6"/>
    <w:rsid w:val="009114FD"/>
    <w:rsid w:val="009263C4"/>
    <w:rsid w:val="00936642"/>
    <w:rsid w:val="0098661B"/>
    <w:rsid w:val="009A2BB5"/>
    <w:rsid w:val="009E2875"/>
    <w:rsid w:val="009E7C45"/>
    <w:rsid w:val="009F0CA6"/>
    <w:rsid w:val="00A04E54"/>
    <w:rsid w:val="00A44954"/>
    <w:rsid w:val="00A73600"/>
    <w:rsid w:val="00A96FDF"/>
    <w:rsid w:val="00AB6F49"/>
    <w:rsid w:val="00AC6502"/>
    <w:rsid w:val="00AD0CF7"/>
    <w:rsid w:val="00AE0454"/>
    <w:rsid w:val="00B01F46"/>
    <w:rsid w:val="00B324D5"/>
    <w:rsid w:val="00B50826"/>
    <w:rsid w:val="00B83E0B"/>
    <w:rsid w:val="00C0787C"/>
    <w:rsid w:val="00C1374B"/>
    <w:rsid w:val="00C76C87"/>
    <w:rsid w:val="00C96325"/>
    <w:rsid w:val="00CC0722"/>
    <w:rsid w:val="00CC26B9"/>
    <w:rsid w:val="00CC7A17"/>
    <w:rsid w:val="00CD7D40"/>
    <w:rsid w:val="00D12AE6"/>
    <w:rsid w:val="00D23C16"/>
    <w:rsid w:val="00D353A1"/>
    <w:rsid w:val="00D432CD"/>
    <w:rsid w:val="00D52ABC"/>
    <w:rsid w:val="00DA2F41"/>
    <w:rsid w:val="00DC015E"/>
    <w:rsid w:val="00DE3244"/>
    <w:rsid w:val="00E028FB"/>
    <w:rsid w:val="00E07E62"/>
    <w:rsid w:val="00E17BBE"/>
    <w:rsid w:val="00E22799"/>
    <w:rsid w:val="00E32067"/>
    <w:rsid w:val="00E46CA7"/>
    <w:rsid w:val="00E57559"/>
    <w:rsid w:val="00E827AB"/>
    <w:rsid w:val="00E8597D"/>
    <w:rsid w:val="00EA0D31"/>
    <w:rsid w:val="00EA7ABD"/>
    <w:rsid w:val="00EB1767"/>
    <w:rsid w:val="00EC66D4"/>
    <w:rsid w:val="00F02772"/>
    <w:rsid w:val="00F14276"/>
    <w:rsid w:val="00F14E81"/>
    <w:rsid w:val="00F3214C"/>
    <w:rsid w:val="00F34B71"/>
    <w:rsid w:val="00F419DB"/>
    <w:rsid w:val="00F462DC"/>
    <w:rsid w:val="00F71C76"/>
    <w:rsid w:val="00F77645"/>
    <w:rsid w:val="00F93693"/>
    <w:rsid w:val="00FA335A"/>
    <w:rsid w:val="00FC69EF"/>
    <w:rsid w:val="00FC7B3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13488"/>
  <w15:chartTrackingRefBased/>
  <w15:docId w15:val="{ECD59B75-432E-45EE-899A-3E3FAB50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E8B"/>
  </w:style>
  <w:style w:type="paragraph" w:styleId="Footer">
    <w:name w:val="footer"/>
    <w:basedOn w:val="Normal"/>
    <w:link w:val="FooterChar"/>
    <w:uiPriority w:val="99"/>
    <w:unhideWhenUsed/>
    <w:rsid w:val="008A1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E8B"/>
  </w:style>
  <w:style w:type="paragraph" w:styleId="ListParagraph">
    <w:name w:val="List Paragraph"/>
    <w:basedOn w:val="Normal"/>
    <w:uiPriority w:val="34"/>
    <w:qFormat/>
    <w:rsid w:val="001E53A4"/>
    <w:pPr>
      <w:ind w:left="720"/>
      <w:contextualSpacing/>
    </w:pPr>
  </w:style>
  <w:style w:type="table" w:styleId="TableGrid">
    <w:name w:val="Table Grid"/>
    <w:basedOn w:val="TableNormal"/>
    <w:uiPriority w:val="39"/>
    <w:rsid w:val="0053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53583E"/>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5">
    <w:name w:val="List Table 3 Accent 5"/>
    <w:basedOn w:val="TableNormal"/>
    <w:uiPriority w:val="48"/>
    <w:rsid w:val="0053583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2-Accent4">
    <w:name w:val="List Table 2 Accent 4"/>
    <w:basedOn w:val="TableNormal"/>
    <w:uiPriority w:val="47"/>
    <w:rsid w:val="0053583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Theme">
    <w:name w:val="Table Theme"/>
    <w:basedOn w:val="TableNormal"/>
    <w:uiPriority w:val="99"/>
    <w:rsid w:val="00535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25498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BalloonText">
    <w:name w:val="Balloon Text"/>
    <w:basedOn w:val="Normal"/>
    <w:link w:val="BalloonTextChar"/>
    <w:uiPriority w:val="99"/>
    <w:semiHidden/>
    <w:unhideWhenUsed/>
    <w:rsid w:val="009E2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8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22844">
      <w:bodyDiv w:val="1"/>
      <w:marLeft w:val="0"/>
      <w:marRight w:val="0"/>
      <w:marTop w:val="0"/>
      <w:marBottom w:val="0"/>
      <w:divBdr>
        <w:top w:val="none" w:sz="0" w:space="0" w:color="auto"/>
        <w:left w:val="none" w:sz="0" w:space="0" w:color="auto"/>
        <w:bottom w:val="none" w:sz="0" w:space="0" w:color="auto"/>
        <w:right w:val="none" w:sz="0" w:space="0" w:color="auto"/>
      </w:divBdr>
      <w:divsChild>
        <w:div w:id="1492336099">
          <w:marLeft w:val="547"/>
          <w:marRight w:val="0"/>
          <w:marTop w:val="0"/>
          <w:marBottom w:val="0"/>
          <w:divBdr>
            <w:top w:val="none" w:sz="0" w:space="0" w:color="auto"/>
            <w:left w:val="none" w:sz="0" w:space="0" w:color="auto"/>
            <w:bottom w:val="none" w:sz="0" w:space="0" w:color="auto"/>
            <w:right w:val="none" w:sz="0" w:space="0" w:color="auto"/>
          </w:divBdr>
        </w:div>
      </w:divsChild>
    </w:div>
    <w:div w:id="1757357992">
      <w:bodyDiv w:val="1"/>
      <w:marLeft w:val="0"/>
      <w:marRight w:val="0"/>
      <w:marTop w:val="0"/>
      <w:marBottom w:val="0"/>
      <w:divBdr>
        <w:top w:val="none" w:sz="0" w:space="0" w:color="auto"/>
        <w:left w:val="none" w:sz="0" w:space="0" w:color="auto"/>
        <w:bottom w:val="none" w:sz="0" w:space="0" w:color="auto"/>
        <w:right w:val="none" w:sz="0" w:space="0" w:color="auto"/>
      </w:divBdr>
      <w:divsChild>
        <w:div w:id="6014500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diagramLayout" Target="diagrams/layout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7DDC7E-8EF9-4B82-929C-2B6A4C509B8C}" type="doc">
      <dgm:prSet loTypeId="urn:microsoft.com/office/officeart/2008/layout/VerticalCurvedList" loCatId="list" qsTypeId="urn:microsoft.com/office/officeart/2005/8/quickstyle/simple1" qsCatId="simple" csTypeId="urn:microsoft.com/office/officeart/2005/8/colors/accent1_1" csCatId="accent1" phldr="1"/>
      <dgm:spPr/>
      <dgm:t>
        <a:bodyPr/>
        <a:lstStyle/>
        <a:p>
          <a:endParaRPr lang="en-NZ"/>
        </a:p>
      </dgm:t>
    </dgm:pt>
    <dgm:pt modelId="{FBD81663-F0EF-4C05-A2FA-636471232760}">
      <dgm:prSet phldrT="[Text]" custT="1"/>
      <dgm:spPr/>
      <dgm:t>
        <a:bodyPr/>
        <a:lstStyle/>
        <a:p>
          <a:pPr algn="l"/>
          <a:r>
            <a:rPr lang="en-NZ" sz="1000"/>
            <a:t>Identifying the need for a facility and developing the strategic case for doing so. Assessing the specifc need and demand in the wider context of the facility network</a:t>
          </a:r>
        </a:p>
      </dgm:t>
    </dgm:pt>
    <dgm:pt modelId="{A2E17EFD-49CC-45A7-A174-64C0692D5C93}" type="parTrans" cxnId="{8F120877-5254-4184-BFCA-4C26449B2C49}">
      <dgm:prSet/>
      <dgm:spPr/>
      <dgm:t>
        <a:bodyPr/>
        <a:lstStyle/>
        <a:p>
          <a:pPr algn="l"/>
          <a:endParaRPr lang="en-NZ" sz="1000"/>
        </a:p>
      </dgm:t>
    </dgm:pt>
    <dgm:pt modelId="{C81E10F1-469E-47DE-AA35-7796E96BB8B2}" type="sibTrans" cxnId="{8F120877-5254-4184-BFCA-4C26449B2C49}">
      <dgm:prSet/>
      <dgm:spPr/>
      <dgm:t>
        <a:bodyPr/>
        <a:lstStyle/>
        <a:p>
          <a:pPr algn="l"/>
          <a:endParaRPr lang="en-NZ" sz="1000"/>
        </a:p>
      </dgm:t>
    </dgm:pt>
    <dgm:pt modelId="{8B88EDD9-959C-45C8-A47C-CE61A1D536A1}">
      <dgm:prSet custT="1"/>
      <dgm:spPr/>
      <dgm:t>
        <a:bodyPr/>
        <a:lstStyle/>
        <a:p>
          <a:pPr algn="l"/>
          <a:r>
            <a:rPr lang="en-NZ" sz="1000"/>
            <a:t>Ensuring the facility will be fit -for-purpose, sustainable and future-proof while also determininig its financial feasibility based on an appropriate facility mix</a:t>
          </a:r>
        </a:p>
      </dgm:t>
    </dgm:pt>
    <dgm:pt modelId="{A61D6336-D81A-4AD3-A592-EAD1FB748A75}" type="parTrans" cxnId="{2AB4C0E7-634F-43F3-BC17-2D765BC12FE0}">
      <dgm:prSet/>
      <dgm:spPr/>
      <dgm:t>
        <a:bodyPr/>
        <a:lstStyle/>
        <a:p>
          <a:pPr algn="l"/>
          <a:endParaRPr lang="en-NZ" sz="1000"/>
        </a:p>
      </dgm:t>
    </dgm:pt>
    <dgm:pt modelId="{B92A42D4-5DD6-49A5-8E89-44374D17C73E}" type="sibTrans" cxnId="{2AB4C0E7-634F-43F3-BC17-2D765BC12FE0}">
      <dgm:prSet/>
      <dgm:spPr/>
      <dgm:t>
        <a:bodyPr/>
        <a:lstStyle/>
        <a:p>
          <a:pPr algn="l"/>
          <a:endParaRPr lang="en-NZ" sz="1000"/>
        </a:p>
      </dgm:t>
    </dgm:pt>
    <dgm:pt modelId="{B5DC82ED-5A33-47FA-91C3-FBB5300012CD}">
      <dgm:prSet custT="1"/>
      <dgm:spPr/>
      <dgm:t>
        <a:bodyPr/>
        <a:lstStyle/>
        <a:p>
          <a:pPr algn="l"/>
          <a:r>
            <a:rPr lang="en-NZ" sz="1000"/>
            <a:t>Developing the detailed functional and spatial requirements of the facility based on the agreed facility mix. Designs are confirmed and estimates finalised. </a:t>
          </a:r>
        </a:p>
      </dgm:t>
    </dgm:pt>
    <dgm:pt modelId="{BC799C08-CA71-4ED1-98A8-E9489B05AFAC}" type="parTrans" cxnId="{CEF4A522-2221-493E-909C-BD6514068037}">
      <dgm:prSet/>
      <dgm:spPr/>
      <dgm:t>
        <a:bodyPr/>
        <a:lstStyle/>
        <a:p>
          <a:pPr algn="l"/>
          <a:endParaRPr lang="en-NZ" sz="1000"/>
        </a:p>
      </dgm:t>
    </dgm:pt>
    <dgm:pt modelId="{03EB0148-38A2-4C1E-B0AA-B58E8DA4BA72}" type="sibTrans" cxnId="{CEF4A522-2221-493E-909C-BD6514068037}">
      <dgm:prSet/>
      <dgm:spPr/>
      <dgm:t>
        <a:bodyPr/>
        <a:lstStyle/>
        <a:p>
          <a:pPr algn="l"/>
          <a:endParaRPr lang="en-NZ" sz="1000"/>
        </a:p>
      </dgm:t>
    </dgm:pt>
    <dgm:pt modelId="{7E615B8D-9CA6-4AF2-B87D-F4A2D2EBB42C}">
      <dgm:prSet custT="1"/>
      <dgm:spPr/>
      <dgm:t>
        <a:bodyPr/>
        <a:lstStyle/>
        <a:p>
          <a:pPr algn="l"/>
          <a:r>
            <a:rPr lang="en-NZ" sz="1000"/>
            <a:t>Constructing the facility</a:t>
          </a:r>
        </a:p>
      </dgm:t>
    </dgm:pt>
    <dgm:pt modelId="{1823438B-DDAD-46EE-958D-958343F7D762}" type="parTrans" cxnId="{53D7552C-F4D0-4E19-B312-DD36D8D5597D}">
      <dgm:prSet/>
      <dgm:spPr/>
      <dgm:t>
        <a:bodyPr/>
        <a:lstStyle/>
        <a:p>
          <a:pPr algn="l"/>
          <a:endParaRPr lang="en-NZ" sz="1000"/>
        </a:p>
      </dgm:t>
    </dgm:pt>
    <dgm:pt modelId="{572BEA18-1DE5-486E-92F0-0313BFB3495C}" type="sibTrans" cxnId="{53D7552C-F4D0-4E19-B312-DD36D8D5597D}">
      <dgm:prSet/>
      <dgm:spPr/>
      <dgm:t>
        <a:bodyPr/>
        <a:lstStyle/>
        <a:p>
          <a:pPr algn="l"/>
          <a:endParaRPr lang="en-NZ" sz="1000"/>
        </a:p>
      </dgm:t>
    </dgm:pt>
    <dgm:pt modelId="{8745D92A-0CA3-438A-ADFD-B7F195B935DD}">
      <dgm:prSet custT="1"/>
      <dgm:spPr/>
      <dgm:t>
        <a:bodyPr/>
        <a:lstStyle/>
        <a:p>
          <a:pPr algn="l"/>
          <a:r>
            <a:rPr lang="en-NZ" sz="1000"/>
            <a:t>Managing and maintaining the facility and ensuring it delivers a quality experience as welllas ensuring it has an effective and efficient operating model and programme of activity that meets community needs</a:t>
          </a:r>
        </a:p>
      </dgm:t>
    </dgm:pt>
    <dgm:pt modelId="{52388E58-DFD9-4C18-A2BB-1ADABC366468}" type="parTrans" cxnId="{9A790832-37D6-4EB2-8388-929D41F859AA}">
      <dgm:prSet/>
      <dgm:spPr/>
      <dgm:t>
        <a:bodyPr/>
        <a:lstStyle/>
        <a:p>
          <a:pPr algn="l"/>
          <a:endParaRPr lang="en-NZ" sz="1000"/>
        </a:p>
      </dgm:t>
    </dgm:pt>
    <dgm:pt modelId="{D80B3CFE-4E5D-4491-9FEF-A5F239613660}" type="sibTrans" cxnId="{9A790832-37D6-4EB2-8388-929D41F859AA}">
      <dgm:prSet/>
      <dgm:spPr/>
      <dgm:t>
        <a:bodyPr/>
        <a:lstStyle/>
        <a:p>
          <a:pPr algn="l"/>
          <a:endParaRPr lang="en-NZ" sz="1000"/>
        </a:p>
      </dgm:t>
    </dgm:pt>
    <dgm:pt modelId="{7F62A78A-9BB3-4721-9BEE-BE789333C193}">
      <dgm:prSet custT="1"/>
      <dgm:spPr/>
      <dgm:t>
        <a:bodyPr/>
        <a:lstStyle/>
        <a:p>
          <a:pPr algn="l"/>
          <a:r>
            <a:rPr lang="en-NZ" sz="1000"/>
            <a:t>Evaluating the success of the facility, how it has delivered on the identified outcomes and objectives, what improvements can be made and whether there is any experience or learnings that can be share</a:t>
          </a:r>
        </a:p>
      </dgm:t>
    </dgm:pt>
    <dgm:pt modelId="{54C89C84-B93B-44E1-8D94-427AEA7848DD}" type="parTrans" cxnId="{CF9C1742-D799-4E4D-96DB-14FEE08D6592}">
      <dgm:prSet/>
      <dgm:spPr/>
      <dgm:t>
        <a:bodyPr/>
        <a:lstStyle/>
        <a:p>
          <a:pPr algn="l"/>
          <a:endParaRPr lang="en-NZ" sz="1000"/>
        </a:p>
      </dgm:t>
    </dgm:pt>
    <dgm:pt modelId="{EC97BB8A-19F1-4F4D-8D71-4C22D797B734}" type="sibTrans" cxnId="{CF9C1742-D799-4E4D-96DB-14FEE08D6592}">
      <dgm:prSet/>
      <dgm:spPr/>
      <dgm:t>
        <a:bodyPr/>
        <a:lstStyle/>
        <a:p>
          <a:pPr algn="l"/>
          <a:endParaRPr lang="en-NZ" sz="1000"/>
        </a:p>
      </dgm:t>
    </dgm:pt>
    <dgm:pt modelId="{083AC401-3171-422D-A955-A7C1A85ECA30}" type="pres">
      <dgm:prSet presAssocID="{7A7DDC7E-8EF9-4B82-929C-2B6A4C509B8C}" presName="Name0" presStyleCnt="0">
        <dgm:presLayoutVars>
          <dgm:chMax val="7"/>
          <dgm:chPref val="7"/>
          <dgm:dir/>
        </dgm:presLayoutVars>
      </dgm:prSet>
      <dgm:spPr/>
    </dgm:pt>
    <dgm:pt modelId="{57D68684-B51C-4BE3-BC91-EBEE688D9577}" type="pres">
      <dgm:prSet presAssocID="{7A7DDC7E-8EF9-4B82-929C-2B6A4C509B8C}" presName="Name1" presStyleCnt="0"/>
      <dgm:spPr/>
    </dgm:pt>
    <dgm:pt modelId="{31F1F464-915D-43F5-B364-89EB71A72CD3}" type="pres">
      <dgm:prSet presAssocID="{7A7DDC7E-8EF9-4B82-929C-2B6A4C509B8C}" presName="cycle" presStyleCnt="0"/>
      <dgm:spPr/>
    </dgm:pt>
    <dgm:pt modelId="{908B9797-CD8B-405E-8925-E59728E7B885}" type="pres">
      <dgm:prSet presAssocID="{7A7DDC7E-8EF9-4B82-929C-2B6A4C509B8C}" presName="srcNode" presStyleLbl="node1" presStyleIdx="0" presStyleCnt="6"/>
      <dgm:spPr/>
    </dgm:pt>
    <dgm:pt modelId="{3A0DBF4C-1AB6-4C71-9161-437E3E4B29E3}" type="pres">
      <dgm:prSet presAssocID="{7A7DDC7E-8EF9-4B82-929C-2B6A4C509B8C}" presName="conn" presStyleLbl="parChTrans1D2" presStyleIdx="0" presStyleCnt="1"/>
      <dgm:spPr/>
    </dgm:pt>
    <dgm:pt modelId="{34260957-6A5E-4CD5-86F9-177D16FE8316}" type="pres">
      <dgm:prSet presAssocID="{7A7DDC7E-8EF9-4B82-929C-2B6A4C509B8C}" presName="extraNode" presStyleLbl="node1" presStyleIdx="0" presStyleCnt="6"/>
      <dgm:spPr/>
    </dgm:pt>
    <dgm:pt modelId="{B06E7979-13FD-46D2-A551-76CCA11BA353}" type="pres">
      <dgm:prSet presAssocID="{7A7DDC7E-8EF9-4B82-929C-2B6A4C509B8C}" presName="dstNode" presStyleLbl="node1" presStyleIdx="0" presStyleCnt="6"/>
      <dgm:spPr/>
    </dgm:pt>
    <dgm:pt modelId="{4F114456-BB6A-489E-A20B-86643575A1C3}" type="pres">
      <dgm:prSet presAssocID="{FBD81663-F0EF-4C05-A2FA-636471232760}" presName="text_1" presStyleLbl="node1" presStyleIdx="0" presStyleCnt="6">
        <dgm:presLayoutVars>
          <dgm:bulletEnabled val="1"/>
        </dgm:presLayoutVars>
      </dgm:prSet>
      <dgm:spPr/>
    </dgm:pt>
    <dgm:pt modelId="{F6CB471F-4925-4205-8804-AB5DC129D301}" type="pres">
      <dgm:prSet presAssocID="{FBD81663-F0EF-4C05-A2FA-636471232760}" presName="accent_1" presStyleCnt="0"/>
      <dgm:spPr/>
    </dgm:pt>
    <dgm:pt modelId="{A7D09F17-80DC-4602-BF4F-CB503ADA6CC9}" type="pres">
      <dgm:prSet presAssocID="{FBD81663-F0EF-4C05-A2FA-636471232760}" presName="accentRepeatNode" presStyleLbl="solidFgAcc1" presStyleIdx="0" presStyleCnt="6"/>
      <dgm:spPr>
        <a:solidFill>
          <a:schemeClr val="accent4">
            <a:lumMod val="40000"/>
            <a:lumOff val="60000"/>
          </a:schemeClr>
        </a:solidFill>
      </dgm:spPr>
    </dgm:pt>
    <dgm:pt modelId="{C331D96F-07A1-494C-BD17-251784B0488E}" type="pres">
      <dgm:prSet presAssocID="{8B88EDD9-959C-45C8-A47C-CE61A1D536A1}" presName="text_2" presStyleLbl="node1" presStyleIdx="1" presStyleCnt="6">
        <dgm:presLayoutVars>
          <dgm:bulletEnabled val="1"/>
        </dgm:presLayoutVars>
      </dgm:prSet>
      <dgm:spPr/>
    </dgm:pt>
    <dgm:pt modelId="{E3192E86-CBD8-4D3A-B27E-FD34DDD31314}" type="pres">
      <dgm:prSet presAssocID="{8B88EDD9-959C-45C8-A47C-CE61A1D536A1}" presName="accent_2" presStyleCnt="0"/>
      <dgm:spPr/>
    </dgm:pt>
    <dgm:pt modelId="{BD65D540-E1C7-4E2E-99E7-61206984E9A9}" type="pres">
      <dgm:prSet presAssocID="{8B88EDD9-959C-45C8-A47C-CE61A1D536A1}" presName="accentRepeatNode" presStyleLbl="solidFgAcc1" presStyleIdx="1" presStyleCnt="6"/>
      <dgm:spPr>
        <a:solidFill>
          <a:schemeClr val="accent4">
            <a:lumMod val="40000"/>
            <a:lumOff val="60000"/>
          </a:schemeClr>
        </a:solidFill>
      </dgm:spPr>
    </dgm:pt>
    <dgm:pt modelId="{48B8C647-BB18-4A0A-A81B-18C9ADD79100}" type="pres">
      <dgm:prSet presAssocID="{B5DC82ED-5A33-47FA-91C3-FBB5300012CD}" presName="text_3" presStyleLbl="node1" presStyleIdx="2" presStyleCnt="6">
        <dgm:presLayoutVars>
          <dgm:bulletEnabled val="1"/>
        </dgm:presLayoutVars>
      </dgm:prSet>
      <dgm:spPr/>
    </dgm:pt>
    <dgm:pt modelId="{50EB64FD-9528-4658-A03B-F2B11EC98A41}" type="pres">
      <dgm:prSet presAssocID="{B5DC82ED-5A33-47FA-91C3-FBB5300012CD}" presName="accent_3" presStyleCnt="0"/>
      <dgm:spPr/>
    </dgm:pt>
    <dgm:pt modelId="{05BC8764-E4CF-424A-B97E-F610CA990B8D}" type="pres">
      <dgm:prSet presAssocID="{B5DC82ED-5A33-47FA-91C3-FBB5300012CD}" presName="accentRepeatNode" presStyleLbl="solidFgAcc1" presStyleIdx="2" presStyleCnt="6"/>
      <dgm:spPr>
        <a:solidFill>
          <a:schemeClr val="accent4">
            <a:lumMod val="40000"/>
            <a:lumOff val="60000"/>
          </a:schemeClr>
        </a:solidFill>
      </dgm:spPr>
    </dgm:pt>
    <dgm:pt modelId="{1A9A164D-B36C-4E62-8AF1-9341DB28DDE6}" type="pres">
      <dgm:prSet presAssocID="{7E615B8D-9CA6-4AF2-B87D-F4A2D2EBB42C}" presName="text_4" presStyleLbl="node1" presStyleIdx="3" presStyleCnt="6">
        <dgm:presLayoutVars>
          <dgm:bulletEnabled val="1"/>
        </dgm:presLayoutVars>
      </dgm:prSet>
      <dgm:spPr/>
    </dgm:pt>
    <dgm:pt modelId="{1F7F3C86-072C-4546-92A0-F3931586788F}" type="pres">
      <dgm:prSet presAssocID="{7E615B8D-9CA6-4AF2-B87D-F4A2D2EBB42C}" presName="accent_4" presStyleCnt="0"/>
      <dgm:spPr/>
    </dgm:pt>
    <dgm:pt modelId="{BB5D438D-79E7-4C18-B431-38E5DC68CF32}" type="pres">
      <dgm:prSet presAssocID="{7E615B8D-9CA6-4AF2-B87D-F4A2D2EBB42C}" presName="accentRepeatNode" presStyleLbl="solidFgAcc1" presStyleIdx="3" presStyleCnt="6"/>
      <dgm:spPr>
        <a:solidFill>
          <a:schemeClr val="accent4">
            <a:lumMod val="40000"/>
            <a:lumOff val="60000"/>
          </a:schemeClr>
        </a:solidFill>
      </dgm:spPr>
    </dgm:pt>
    <dgm:pt modelId="{EC2AA079-8EFF-478C-95EE-A1C77EA00C36}" type="pres">
      <dgm:prSet presAssocID="{8745D92A-0CA3-438A-ADFD-B7F195B935DD}" presName="text_5" presStyleLbl="node1" presStyleIdx="4" presStyleCnt="6">
        <dgm:presLayoutVars>
          <dgm:bulletEnabled val="1"/>
        </dgm:presLayoutVars>
      </dgm:prSet>
      <dgm:spPr/>
    </dgm:pt>
    <dgm:pt modelId="{BC898E7F-928F-40A7-82AC-D0E0AB0C7E44}" type="pres">
      <dgm:prSet presAssocID="{8745D92A-0CA3-438A-ADFD-B7F195B935DD}" presName="accent_5" presStyleCnt="0"/>
      <dgm:spPr/>
    </dgm:pt>
    <dgm:pt modelId="{9843D6A0-06E1-4633-BE6B-1F2CD5CE3726}" type="pres">
      <dgm:prSet presAssocID="{8745D92A-0CA3-438A-ADFD-B7F195B935DD}" presName="accentRepeatNode" presStyleLbl="solidFgAcc1" presStyleIdx="4" presStyleCnt="6"/>
      <dgm:spPr>
        <a:solidFill>
          <a:schemeClr val="accent4">
            <a:lumMod val="40000"/>
            <a:lumOff val="60000"/>
          </a:schemeClr>
        </a:solidFill>
      </dgm:spPr>
    </dgm:pt>
    <dgm:pt modelId="{3F2F18C9-1FA4-4742-BCBD-2F6568723A97}" type="pres">
      <dgm:prSet presAssocID="{7F62A78A-9BB3-4721-9BEE-BE789333C193}" presName="text_6" presStyleLbl="node1" presStyleIdx="5" presStyleCnt="6">
        <dgm:presLayoutVars>
          <dgm:bulletEnabled val="1"/>
        </dgm:presLayoutVars>
      </dgm:prSet>
      <dgm:spPr/>
    </dgm:pt>
    <dgm:pt modelId="{DF4335D5-1172-4429-B4EE-A7F51F1916A3}" type="pres">
      <dgm:prSet presAssocID="{7F62A78A-9BB3-4721-9BEE-BE789333C193}" presName="accent_6" presStyleCnt="0"/>
      <dgm:spPr/>
    </dgm:pt>
    <dgm:pt modelId="{ED30F5C0-B01E-489B-8389-7196FA68EF93}" type="pres">
      <dgm:prSet presAssocID="{7F62A78A-9BB3-4721-9BEE-BE789333C193}" presName="accentRepeatNode" presStyleLbl="solidFgAcc1" presStyleIdx="5" presStyleCnt="6"/>
      <dgm:spPr>
        <a:solidFill>
          <a:schemeClr val="accent4">
            <a:lumMod val="40000"/>
            <a:lumOff val="60000"/>
          </a:schemeClr>
        </a:solidFill>
      </dgm:spPr>
    </dgm:pt>
  </dgm:ptLst>
  <dgm:cxnLst>
    <dgm:cxn modelId="{CEF4A522-2221-493E-909C-BD6514068037}" srcId="{7A7DDC7E-8EF9-4B82-929C-2B6A4C509B8C}" destId="{B5DC82ED-5A33-47FA-91C3-FBB5300012CD}" srcOrd="2" destOrd="0" parTransId="{BC799C08-CA71-4ED1-98A8-E9489B05AFAC}" sibTransId="{03EB0148-38A2-4C1E-B0AA-B58E8DA4BA72}"/>
    <dgm:cxn modelId="{53D7552C-F4D0-4E19-B312-DD36D8D5597D}" srcId="{7A7DDC7E-8EF9-4B82-929C-2B6A4C509B8C}" destId="{7E615B8D-9CA6-4AF2-B87D-F4A2D2EBB42C}" srcOrd="3" destOrd="0" parTransId="{1823438B-DDAD-46EE-958D-958343F7D762}" sibTransId="{572BEA18-1DE5-486E-92F0-0313BFB3495C}"/>
    <dgm:cxn modelId="{9A790832-37D6-4EB2-8388-929D41F859AA}" srcId="{7A7DDC7E-8EF9-4B82-929C-2B6A4C509B8C}" destId="{8745D92A-0CA3-438A-ADFD-B7F195B935DD}" srcOrd="4" destOrd="0" parTransId="{52388E58-DFD9-4C18-A2BB-1ADABC366468}" sibTransId="{D80B3CFE-4E5D-4491-9FEF-A5F239613660}"/>
    <dgm:cxn modelId="{DED46C32-E005-4E17-8E91-2B60F02B9725}" type="presOf" srcId="{7F62A78A-9BB3-4721-9BEE-BE789333C193}" destId="{3F2F18C9-1FA4-4742-BCBD-2F6568723A97}" srcOrd="0" destOrd="0" presId="urn:microsoft.com/office/officeart/2008/layout/VerticalCurvedList"/>
    <dgm:cxn modelId="{9C4DB060-4744-4B95-8C14-AA86AE59E1A5}" type="presOf" srcId="{8745D92A-0CA3-438A-ADFD-B7F195B935DD}" destId="{EC2AA079-8EFF-478C-95EE-A1C77EA00C36}" srcOrd="0" destOrd="0" presId="urn:microsoft.com/office/officeart/2008/layout/VerticalCurvedList"/>
    <dgm:cxn modelId="{B2C90041-8B5A-4D1B-8432-CCE9AF6CDBCC}" type="presOf" srcId="{FBD81663-F0EF-4C05-A2FA-636471232760}" destId="{4F114456-BB6A-489E-A20B-86643575A1C3}" srcOrd="0" destOrd="0" presId="urn:microsoft.com/office/officeart/2008/layout/VerticalCurvedList"/>
    <dgm:cxn modelId="{CF9C1742-D799-4E4D-96DB-14FEE08D6592}" srcId="{7A7DDC7E-8EF9-4B82-929C-2B6A4C509B8C}" destId="{7F62A78A-9BB3-4721-9BEE-BE789333C193}" srcOrd="5" destOrd="0" parTransId="{54C89C84-B93B-44E1-8D94-427AEA7848DD}" sibTransId="{EC97BB8A-19F1-4F4D-8D71-4C22D797B734}"/>
    <dgm:cxn modelId="{C7BE4547-9F6C-4A56-AF6B-2ACB0DC7A81E}" type="presOf" srcId="{7A7DDC7E-8EF9-4B82-929C-2B6A4C509B8C}" destId="{083AC401-3171-422D-A955-A7C1A85ECA30}" srcOrd="0" destOrd="0" presId="urn:microsoft.com/office/officeart/2008/layout/VerticalCurvedList"/>
    <dgm:cxn modelId="{2EA91B73-5F93-416C-A316-EEF795075168}" type="presOf" srcId="{8B88EDD9-959C-45C8-A47C-CE61A1D536A1}" destId="{C331D96F-07A1-494C-BD17-251784B0488E}" srcOrd="0" destOrd="0" presId="urn:microsoft.com/office/officeart/2008/layout/VerticalCurvedList"/>
    <dgm:cxn modelId="{8F120877-5254-4184-BFCA-4C26449B2C49}" srcId="{7A7DDC7E-8EF9-4B82-929C-2B6A4C509B8C}" destId="{FBD81663-F0EF-4C05-A2FA-636471232760}" srcOrd="0" destOrd="0" parTransId="{A2E17EFD-49CC-45A7-A174-64C0692D5C93}" sibTransId="{C81E10F1-469E-47DE-AA35-7796E96BB8B2}"/>
    <dgm:cxn modelId="{2AB4C0E7-634F-43F3-BC17-2D765BC12FE0}" srcId="{7A7DDC7E-8EF9-4B82-929C-2B6A4C509B8C}" destId="{8B88EDD9-959C-45C8-A47C-CE61A1D536A1}" srcOrd="1" destOrd="0" parTransId="{A61D6336-D81A-4AD3-A592-EAD1FB748A75}" sibTransId="{B92A42D4-5DD6-49A5-8E89-44374D17C73E}"/>
    <dgm:cxn modelId="{C769B5EC-A780-4429-B674-04FBEE463C88}" type="presOf" srcId="{C81E10F1-469E-47DE-AA35-7796E96BB8B2}" destId="{3A0DBF4C-1AB6-4C71-9161-437E3E4B29E3}" srcOrd="0" destOrd="0" presId="urn:microsoft.com/office/officeart/2008/layout/VerticalCurvedList"/>
    <dgm:cxn modelId="{18113CF0-238F-4490-B93B-EE746A3B3949}" type="presOf" srcId="{7E615B8D-9CA6-4AF2-B87D-F4A2D2EBB42C}" destId="{1A9A164D-B36C-4E62-8AF1-9341DB28DDE6}" srcOrd="0" destOrd="0" presId="urn:microsoft.com/office/officeart/2008/layout/VerticalCurvedList"/>
    <dgm:cxn modelId="{A43252F3-B9D9-41DA-8964-19B65F494804}" type="presOf" srcId="{B5DC82ED-5A33-47FA-91C3-FBB5300012CD}" destId="{48B8C647-BB18-4A0A-A81B-18C9ADD79100}" srcOrd="0" destOrd="0" presId="urn:microsoft.com/office/officeart/2008/layout/VerticalCurvedList"/>
    <dgm:cxn modelId="{ADA5B85A-A932-4AA1-9CFF-DFE9D6305F31}" type="presParOf" srcId="{083AC401-3171-422D-A955-A7C1A85ECA30}" destId="{57D68684-B51C-4BE3-BC91-EBEE688D9577}" srcOrd="0" destOrd="0" presId="urn:microsoft.com/office/officeart/2008/layout/VerticalCurvedList"/>
    <dgm:cxn modelId="{CBFF73A0-18B0-4F11-97E6-BEA8A88DA08B}" type="presParOf" srcId="{57D68684-B51C-4BE3-BC91-EBEE688D9577}" destId="{31F1F464-915D-43F5-B364-89EB71A72CD3}" srcOrd="0" destOrd="0" presId="urn:microsoft.com/office/officeart/2008/layout/VerticalCurvedList"/>
    <dgm:cxn modelId="{3D0919D9-4A8C-4A8D-826E-AA7CC0513C37}" type="presParOf" srcId="{31F1F464-915D-43F5-B364-89EB71A72CD3}" destId="{908B9797-CD8B-405E-8925-E59728E7B885}" srcOrd="0" destOrd="0" presId="urn:microsoft.com/office/officeart/2008/layout/VerticalCurvedList"/>
    <dgm:cxn modelId="{6FF2C4E1-DD77-4313-B454-E1061B779EDB}" type="presParOf" srcId="{31F1F464-915D-43F5-B364-89EB71A72CD3}" destId="{3A0DBF4C-1AB6-4C71-9161-437E3E4B29E3}" srcOrd="1" destOrd="0" presId="urn:microsoft.com/office/officeart/2008/layout/VerticalCurvedList"/>
    <dgm:cxn modelId="{7F9038F9-1297-4890-B2DF-C30E8D18D7A8}" type="presParOf" srcId="{31F1F464-915D-43F5-B364-89EB71A72CD3}" destId="{34260957-6A5E-4CD5-86F9-177D16FE8316}" srcOrd="2" destOrd="0" presId="urn:microsoft.com/office/officeart/2008/layout/VerticalCurvedList"/>
    <dgm:cxn modelId="{3CD312E6-41C4-43B3-9278-CD355903D7D7}" type="presParOf" srcId="{31F1F464-915D-43F5-B364-89EB71A72CD3}" destId="{B06E7979-13FD-46D2-A551-76CCA11BA353}" srcOrd="3" destOrd="0" presId="urn:microsoft.com/office/officeart/2008/layout/VerticalCurvedList"/>
    <dgm:cxn modelId="{058A3D85-4DB7-4DA0-A486-16B0625566D8}" type="presParOf" srcId="{57D68684-B51C-4BE3-BC91-EBEE688D9577}" destId="{4F114456-BB6A-489E-A20B-86643575A1C3}" srcOrd="1" destOrd="0" presId="urn:microsoft.com/office/officeart/2008/layout/VerticalCurvedList"/>
    <dgm:cxn modelId="{B316BD9B-0CA6-4B18-B8BE-6EB5D5E0011F}" type="presParOf" srcId="{57D68684-B51C-4BE3-BC91-EBEE688D9577}" destId="{F6CB471F-4925-4205-8804-AB5DC129D301}" srcOrd="2" destOrd="0" presId="urn:microsoft.com/office/officeart/2008/layout/VerticalCurvedList"/>
    <dgm:cxn modelId="{21BC47F7-CF13-4F7E-B642-883FEE976BF1}" type="presParOf" srcId="{F6CB471F-4925-4205-8804-AB5DC129D301}" destId="{A7D09F17-80DC-4602-BF4F-CB503ADA6CC9}" srcOrd="0" destOrd="0" presId="urn:microsoft.com/office/officeart/2008/layout/VerticalCurvedList"/>
    <dgm:cxn modelId="{6B424517-A2BD-4CD5-9817-63F530E5531D}" type="presParOf" srcId="{57D68684-B51C-4BE3-BC91-EBEE688D9577}" destId="{C331D96F-07A1-494C-BD17-251784B0488E}" srcOrd="3" destOrd="0" presId="urn:microsoft.com/office/officeart/2008/layout/VerticalCurvedList"/>
    <dgm:cxn modelId="{88BDB886-829F-463E-BF34-44A87A225D38}" type="presParOf" srcId="{57D68684-B51C-4BE3-BC91-EBEE688D9577}" destId="{E3192E86-CBD8-4D3A-B27E-FD34DDD31314}" srcOrd="4" destOrd="0" presId="urn:microsoft.com/office/officeart/2008/layout/VerticalCurvedList"/>
    <dgm:cxn modelId="{3DA62CD2-1A7A-4E26-9C24-03E05EAD6ABB}" type="presParOf" srcId="{E3192E86-CBD8-4D3A-B27E-FD34DDD31314}" destId="{BD65D540-E1C7-4E2E-99E7-61206984E9A9}" srcOrd="0" destOrd="0" presId="urn:microsoft.com/office/officeart/2008/layout/VerticalCurvedList"/>
    <dgm:cxn modelId="{EFDA338D-A8DB-4EA2-9AF9-47B7903F060D}" type="presParOf" srcId="{57D68684-B51C-4BE3-BC91-EBEE688D9577}" destId="{48B8C647-BB18-4A0A-A81B-18C9ADD79100}" srcOrd="5" destOrd="0" presId="urn:microsoft.com/office/officeart/2008/layout/VerticalCurvedList"/>
    <dgm:cxn modelId="{0F69A3A3-EBF1-4897-B607-0A26486BBDF0}" type="presParOf" srcId="{57D68684-B51C-4BE3-BC91-EBEE688D9577}" destId="{50EB64FD-9528-4658-A03B-F2B11EC98A41}" srcOrd="6" destOrd="0" presId="urn:microsoft.com/office/officeart/2008/layout/VerticalCurvedList"/>
    <dgm:cxn modelId="{D5A85A02-55BC-41FA-A0CB-3AE2BEB796D7}" type="presParOf" srcId="{50EB64FD-9528-4658-A03B-F2B11EC98A41}" destId="{05BC8764-E4CF-424A-B97E-F610CA990B8D}" srcOrd="0" destOrd="0" presId="urn:microsoft.com/office/officeart/2008/layout/VerticalCurvedList"/>
    <dgm:cxn modelId="{3D34C858-FA01-4727-85DA-1879CBF59418}" type="presParOf" srcId="{57D68684-B51C-4BE3-BC91-EBEE688D9577}" destId="{1A9A164D-B36C-4E62-8AF1-9341DB28DDE6}" srcOrd="7" destOrd="0" presId="urn:microsoft.com/office/officeart/2008/layout/VerticalCurvedList"/>
    <dgm:cxn modelId="{EFF58884-FB5E-4A2F-A626-707D79B7420A}" type="presParOf" srcId="{57D68684-B51C-4BE3-BC91-EBEE688D9577}" destId="{1F7F3C86-072C-4546-92A0-F3931586788F}" srcOrd="8" destOrd="0" presId="urn:microsoft.com/office/officeart/2008/layout/VerticalCurvedList"/>
    <dgm:cxn modelId="{6FCB3B6C-AE0A-472A-9B18-FA9CA51DFC71}" type="presParOf" srcId="{1F7F3C86-072C-4546-92A0-F3931586788F}" destId="{BB5D438D-79E7-4C18-B431-38E5DC68CF32}" srcOrd="0" destOrd="0" presId="urn:microsoft.com/office/officeart/2008/layout/VerticalCurvedList"/>
    <dgm:cxn modelId="{52A304A5-0546-4FB1-8DEA-5B7810F4DF30}" type="presParOf" srcId="{57D68684-B51C-4BE3-BC91-EBEE688D9577}" destId="{EC2AA079-8EFF-478C-95EE-A1C77EA00C36}" srcOrd="9" destOrd="0" presId="urn:microsoft.com/office/officeart/2008/layout/VerticalCurvedList"/>
    <dgm:cxn modelId="{413C2804-CE4B-4B00-A293-94163F8EC007}" type="presParOf" srcId="{57D68684-B51C-4BE3-BC91-EBEE688D9577}" destId="{BC898E7F-928F-40A7-82AC-D0E0AB0C7E44}" srcOrd="10" destOrd="0" presId="urn:microsoft.com/office/officeart/2008/layout/VerticalCurvedList"/>
    <dgm:cxn modelId="{0403C0CB-8471-4B8A-B81D-75733F3B9E36}" type="presParOf" srcId="{BC898E7F-928F-40A7-82AC-D0E0AB0C7E44}" destId="{9843D6A0-06E1-4633-BE6B-1F2CD5CE3726}" srcOrd="0" destOrd="0" presId="urn:microsoft.com/office/officeart/2008/layout/VerticalCurvedList"/>
    <dgm:cxn modelId="{FD2B1A5C-E81C-430F-9907-E55ABF218F18}" type="presParOf" srcId="{57D68684-B51C-4BE3-BC91-EBEE688D9577}" destId="{3F2F18C9-1FA4-4742-BCBD-2F6568723A97}" srcOrd="11" destOrd="0" presId="urn:microsoft.com/office/officeart/2008/layout/VerticalCurvedList"/>
    <dgm:cxn modelId="{35323FAD-97C7-4C79-9995-41632B792E9E}" type="presParOf" srcId="{57D68684-B51C-4BE3-BC91-EBEE688D9577}" destId="{DF4335D5-1172-4429-B4EE-A7F51F1916A3}" srcOrd="12" destOrd="0" presId="urn:microsoft.com/office/officeart/2008/layout/VerticalCurvedList"/>
    <dgm:cxn modelId="{C331243B-D6B7-44D3-8760-F024F5BBD588}" type="presParOf" srcId="{DF4335D5-1172-4429-B4EE-A7F51F1916A3}" destId="{ED30F5C0-B01E-489B-8389-7196FA68EF93}"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6EDD69-9C44-4CB4-A518-CEFEE94E84B8}" type="doc">
      <dgm:prSet loTypeId="urn:diagrams.loki3.com/VaryingWidthList" loCatId="list" qsTypeId="urn:microsoft.com/office/officeart/2005/8/quickstyle/simple1" qsCatId="simple" csTypeId="urn:microsoft.com/office/officeart/2005/8/colors/accent2_1" csCatId="accent2" phldr="1"/>
      <dgm:spPr/>
      <dgm:t>
        <a:bodyPr/>
        <a:lstStyle/>
        <a:p>
          <a:endParaRPr lang="en-NZ"/>
        </a:p>
      </dgm:t>
    </dgm:pt>
    <dgm:pt modelId="{0952E3F2-8F6C-4C99-A48E-94D2A2ACE560}">
      <dgm:prSet phldrT="[Text]" custT="1"/>
      <dgm:spPr/>
      <dgm:t>
        <a:bodyPr/>
        <a:lstStyle/>
        <a:p>
          <a:r>
            <a:rPr lang="en-NZ" sz="1000" b="0"/>
            <a:t>A facility with the ability to host international competitions / events (i.e. between nations) </a:t>
          </a:r>
        </a:p>
      </dgm:t>
    </dgm:pt>
    <dgm:pt modelId="{5C067421-127D-4567-AAB9-F78E7BB39D73}" type="parTrans" cxnId="{846F15C2-CB24-4FFF-B810-6088ACFE0474}">
      <dgm:prSet/>
      <dgm:spPr/>
      <dgm:t>
        <a:bodyPr/>
        <a:lstStyle/>
        <a:p>
          <a:endParaRPr lang="en-NZ" sz="1000" b="0"/>
        </a:p>
      </dgm:t>
    </dgm:pt>
    <dgm:pt modelId="{E64A5508-4A79-46D1-8A0C-2D889B73FA4E}" type="sibTrans" cxnId="{846F15C2-CB24-4FFF-B810-6088ACFE0474}">
      <dgm:prSet/>
      <dgm:spPr/>
      <dgm:t>
        <a:bodyPr/>
        <a:lstStyle/>
        <a:p>
          <a:endParaRPr lang="en-NZ" sz="1000" b="0"/>
        </a:p>
      </dgm:t>
    </dgm:pt>
    <dgm:pt modelId="{109EE87C-E4C6-4306-808B-E561EF5E4A58}">
      <dgm:prSet phldrT="[Text]" custT="1"/>
      <dgm:spPr/>
      <dgm:t>
        <a:bodyPr/>
        <a:lstStyle/>
        <a:p>
          <a:r>
            <a:rPr lang="en-NZ" sz="1000" b="0"/>
            <a:t>A facility with the ability to host regional representative competitions (including professional and semi-professional franchise competitions involving teams from outside New Zealand) and / or to serve as a national high-performance training hub for one or more sports codes. </a:t>
          </a:r>
        </a:p>
      </dgm:t>
    </dgm:pt>
    <dgm:pt modelId="{8AA6B1DD-CC19-4DEA-8C72-7AC9431AA1A5}" type="parTrans" cxnId="{0848459E-FFDF-4BD3-AB5C-3C4343F1B64A}">
      <dgm:prSet/>
      <dgm:spPr/>
      <dgm:t>
        <a:bodyPr/>
        <a:lstStyle/>
        <a:p>
          <a:endParaRPr lang="en-NZ" sz="1000" b="0"/>
        </a:p>
      </dgm:t>
    </dgm:pt>
    <dgm:pt modelId="{E551B27B-2E7F-4A7B-9BFB-3F7ED3F1429A}" type="sibTrans" cxnId="{0848459E-FFDF-4BD3-AB5C-3C4343F1B64A}">
      <dgm:prSet/>
      <dgm:spPr/>
      <dgm:t>
        <a:bodyPr/>
        <a:lstStyle/>
        <a:p>
          <a:endParaRPr lang="en-NZ" sz="1000" b="0"/>
        </a:p>
      </dgm:t>
    </dgm:pt>
    <dgm:pt modelId="{7366F6C0-571C-43EC-9976-517C1C6DBE21}">
      <dgm:prSet phldrT="[Text]" custT="1"/>
      <dgm:spPr/>
      <dgm:t>
        <a:bodyPr/>
        <a:lstStyle/>
        <a:p>
          <a:r>
            <a:rPr lang="en-NZ" sz="1000" b="0"/>
            <a:t>A facility with the ability to host inter-regional and internal regional competitions and /or serves as a regional high-performance training hub for one or more sports codes. </a:t>
          </a:r>
        </a:p>
      </dgm:t>
    </dgm:pt>
    <dgm:pt modelId="{A39C95D8-AD81-4B5A-A9B5-4B17D458F476}" type="parTrans" cxnId="{1174C791-9235-43AA-BB19-36BAEC1A2312}">
      <dgm:prSet/>
      <dgm:spPr/>
      <dgm:t>
        <a:bodyPr/>
        <a:lstStyle/>
        <a:p>
          <a:endParaRPr lang="en-NZ" sz="1000" b="0"/>
        </a:p>
      </dgm:t>
    </dgm:pt>
    <dgm:pt modelId="{A9A5B43E-2536-4476-8E5C-7AA6F014AD70}" type="sibTrans" cxnId="{1174C791-9235-43AA-BB19-36BAEC1A2312}">
      <dgm:prSet/>
      <dgm:spPr/>
      <dgm:t>
        <a:bodyPr/>
        <a:lstStyle/>
        <a:p>
          <a:endParaRPr lang="en-NZ" sz="1000" b="0"/>
        </a:p>
      </dgm:t>
    </dgm:pt>
    <dgm:pt modelId="{61D362AC-2FB1-4057-8971-479983B2A3E4}">
      <dgm:prSet custT="1"/>
      <dgm:spPr/>
      <dgm:t>
        <a:bodyPr/>
        <a:lstStyle/>
        <a:p>
          <a:r>
            <a:rPr lang="en-NZ" sz="1000" b="0"/>
            <a:t>A facility with the ability to draw significant numbers of participants/teams/competitors from across adjacent territorial authority boundaries for either competition or training purposes. </a:t>
          </a:r>
        </a:p>
      </dgm:t>
    </dgm:pt>
    <dgm:pt modelId="{BA294B7E-4DE4-412B-AE91-64D8ECDBE1A7}" type="parTrans" cxnId="{BCCA8848-BAA4-4297-9181-2FA7492C77D4}">
      <dgm:prSet/>
      <dgm:spPr/>
      <dgm:t>
        <a:bodyPr/>
        <a:lstStyle/>
        <a:p>
          <a:endParaRPr lang="en-NZ" sz="1000" b="0"/>
        </a:p>
      </dgm:t>
    </dgm:pt>
    <dgm:pt modelId="{8F1E85C4-B165-4659-8FEF-26C8374C863A}" type="sibTrans" cxnId="{BCCA8848-BAA4-4297-9181-2FA7492C77D4}">
      <dgm:prSet/>
      <dgm:spPr/>
      <dgm:t>
        <a:bodyPr/>
        <a:lstStyle/>
        <a:p>
          <a:endParaRPr lang="en-NZ" sz="1000" b="0"/>
        </a:p>
      </dgm:t>
    </dgm:pt>
    <dgm:pt modelId="{E6CF11BE-E311-4B0D-A4E0-A728DDE29EAB}">
      <dgm:prSet custT="1"/>
      <dgm:spPr/>
      <dgm:t>
        <a:bodyPr/>
        <a:lstStyle/>
        <a:p>
          <a:r>
            <a:rPr lang="en-NZ" sz="1000" b="0"/>
            <a:t>A facility with the size and ability to cater for and serve an entire district or city. This type of venue would often be the central hub for a specific activity type. </a:t>
          </a:r>
        </a:p>
      </dgm:t>
    </dgm:pt>
    <dgm:pt modelId="{5642B876-A70B-4E49-8B64-8A6F55D78A7A}" type="parTrans" cxnId="{1C3294B7-C8AA-460A-AC06-86EF681926C1}">
      <dgm:prSet/>
      <dgm:spPr/>
      <dgm:t>
        <a:bodyPr/>
        <a:lstStyle/>
        <a:p>
          <a:endParaRPr lang="en-NZ" sz="1000" b="0"/>
        </a:p>
      </dgm:t>
    </dgm:pt>
    <dgm:pt modelId="{BA40FE15-63B8-4B1D-B02F-13542D50A9F2}" type="sibTrans" cxnId="{1C3294B7-C8AA-460A-AC06-86EF681926C1}">
      <dgm:prSet/>
      <dgm:spPr/>
      <dgm:t>
        <a:bodyPr/>
        <a:lstStyle/>
        <a:p>
          <a:endParaRPr lang="en-NZ" sz="1000" b="0"/>
        </a:p>
      </dgm:t>
    </dgm:pt>
    <dgm:pt modelId="{89B6B41E-7CFB-4B23-B985-2B735E382128}">
      <dgm:prSet custT="1"/>
      <dgm:spPr/>
      <dgm:t>
        <a:bodyPr/>
        <a:lstStyle/>
        <a:p>
          <a:r>
            <a:rPr lang="en-NZ" sz="1000" b="0"/>
            <a:t>A facility which often facilitates people’s introduction to sports and recreation and primarily serves a town or suburb (or potentially two suburbs) only. </a:t>
          </a:r>
        </a:p>
      </dgm:t>
    </dgm:pt>
    <dgm:pt modelId="{4C218DC6-5D7A-422F-B2DF-407E4D5D7D60}" type="parTrans" cxnId="{DEA44F13-058D-4378-8A7A-BB49AB69B59D}">
      <dgm:prSet/>
      <dgm:spPr/>
      <dgm:t>
        <a:bodyPr/>
        <a:lstStyle/>
        <a:p>
          <a:endParaRPr lang="en-NZ" sz="1000" b="0"/>
        </a:p>
      </dgm:t>
    </dgm:pt>
    <dgm:pt modelId="{69EF870A-1879-4AFE-BC85-70D3B15A0A32}" type="sibTrans" cxnId="{DEA44F13-058D-4378-8A7A-BB49AB69B59D}">
      <dgm:prSet/>
      <dgm:spPr/>
      <dgm:t>
        <a:bodyPr/>
        <a:lstStyle/>
        <a:p>
          <a:endParaRPr lang="en-NZ" sz="1000" b="0"/>
        </a:p>
      </dgm:t>
    </dgm:pt>
    <dgm:pt modelId="{3B948F1B-1E03-4857-ABF6-130ADC750B99}" type="pres">
      <dgm:prSet presAssocID="{4E6EDD69-9C44-4CB4-A518-CEFEE94E84B8}" presName="Name0" presStyleCnt="0">
        <dgm:presLayoutVars>
          <dgm:resizeHandles/>
        </dgm:presLayoutVars>
      </dgm:prSet>
      <dgm:spPr/>
    </dgm:pt>
    <dgm:pt modelId="{025B36E0-56B1-4CBA-822D-F34D0C991F37}" type="pres">
      <dgm:prSet presAssocID="{0952E3F2-8F6C-4C99-A48E-94D2A2ACE560}" presName="text" presStyleLbl="node1" presStyleIdx="0" presStyleCnt="6" custScaleX="383565">
        <dgm:presLayoutVars>
          <dgm:bulletEnabled val="1"/>
        </dgm:presLayoutVars>
      </dgm:prSet>
      <dgm:spPr/>
    </dgm:pt>
    <dgm:pt modelId="{176B178D-0C2E-43F0-8D15-8FD7E4AD5679}" type="pres">
      <dgm:prSet presAssocID="{E64A5508-4A79-46D1-8A0C-2D889B73FA4E}" presName="space" presStyleCnt="0"/>
      <dgm:spPr/>
    </dgm:pt>
    <dgm:pt modelId="{7A4E30F8-CB3F-43C1-97A7-C4BD572426CC}" type="pres">
      <dgm:prSet presAssocID="{109EE87C-E4C6-4306-808B-E561EF5E4A58}" presName="text" presStyleLbl="node1" presStyleIdx="1" presStyleCnt="6" custScaleX="395552">
        <dgm:presLayoutVars>
          <dgm:bulletEnabled val="1"/>
        </dgm:presLayoutVars>
      </dgm:prSet>
      <dgm:spPr/>
    </dgm:pt>
    <dgm:pt modelId="{B2D18087-6B2A-4C59-AF81-9C2FF2E7B427}" type="pres">
      <dgm:prSet presAssocID="{E551B27B-2E7F-4A7B-9BFB-3F7ED3F1429A}" presName="space" presStyleCnt="0"/>
      <dgm:spPr/>
    </dgm:pt>
    <dgm:pt modelId="{46ECDB7B-73FC-4A35-A573-D4D73EB7095F}" type="pres">
      <dgm:prSet presAssocID="{7366F6C0-571C-43EC-9976-517C1C6DBE21}" presName="text" presStyleLbl="node1" presStyleIdx="2" presStyleCnt="6" custScaleX="395552">
        <dgm:presLayoutVars>
          <dgm:bulletEnabled val="1"/>
        </dgm:presLayoutVars>
      </dgm:prSet>
      <dgm:spPr/>
    </dgm:pt>
    <dgm:pt modelId="{77D51D73-B0D0-4E52-93FE-A78C53EF70C1}" type="pres">
      <dgm:prSet presAssocID="{A9A5B43E-2536-4476-8E5C-7AA6F014AD70}" presName="space" presStyleCnt="0"/>
      <dgm:spPr/>
    </dgm:pt>
    <dgm:pt modelId="{A98C97AC-6695-4AD2-B2A8-05E72FD42F48}" type="pres">
      <dgm:prSet presAssocID="{61D362AC-2FB1-4057-8971-479983B2A3E4}" presName="text" presStyleLbl="node1" presStyleIdx="3" presStyleCnt="6" custScaleX="395552">
        <dgm:presLayoutVars>
          <dgm:bulletEnabled val="1"/>
        </dgm:presLayoutVars>
      </dgm:prSet>
      <dgm:spPr/>
    </dgm:pt>
    <dgm:pt modelId="{E4A00B97-9A55-4812-A9D7-923F9BEB56FB}" type="pres">
      <dgm:prSet presAssocID="{8F1E85C4-B165-4659-8FEF-26C8374C863A}" presName="space" presStyleCnt="0"/>
      <dgm:spPr/>
    </dgm:pt>
    <dgm:pt modelId="{D8E2FE8D-C3D2-4EBC-9773-D265C3C2EACA}" type="pres">
      <dgm:prSet presAssocID="{E6CF11BE-E311-4B0D-A4E0-A728DDE29EAB}" presName="text" presStyleLbl="node1" presStyleIdx="4" presStyleCnt="6" custScaleX="395552">
        <dgm:presLayoutVars>
          <dgm:bulletEnabled val="1"/>
        </dgm:presLayoutVars>
      </dgm:prSet>
      <dgm:spPr/>
    </dgm:pt>
    <dgm:pt modelId="{1CDD9AEA-1ABE-4E9A-8949-A3E31AF8EE64}" type="pres">
      <dgm:prSet presAssocID="{BA40FE15-63B8-4B1D-B02F-13542D50A9F2}" presName="space" presStyleCnt="0"/>
      <dgm:spPr/>
    </dgm:pt>
    <dgm:pt modelId="{2132BDE0-1985-48FF-AA05-925E7024CA2D}" type="pres">
      <dgm:prSet presAssocID="{89B6B41E-7CFB-4B23-B985-2B735E382128}" presName="text" presStyleLbl="node1" presStyleIdx="5" presStyleCnt="6" custScaleX="395552">
        <dgm:presLayoutVars>
          <dgm:bulletEnabled val="1"/>
        </dgm:presLayoutVars>
      </dgm:prSet>
      <dgm:spPr/>
    </dgm:pt>
  </dgm:ptLst>
  <dgm:cxnLst>
    <dgm:cxn modelId="{D1DE8400-81FE-4E01-9437-5B25515FC458}" type="presOf" srcId="{61D362AC-2FB1-4057-8971-479983B2A3E4}" destId="{A98C97AC-6695-4AD2-B2A8-05E72FD42F48}" srcOrd="0" destOrd="0" presId="urn:diagrams.loki3.com/VaryingWidthList"/>
    <dgm:cxn modelId="{DEA44F13-058D-4378-8A7A-BB49AB69B59D}" srcId="{4E6EDD69-9C44-4CB4-A518-CEFEE94E84B8}" destId="{89B6B41E-7CFB-4B23-B985-2B735E382128}" srcOrd="5" destOrd="0" parTransId="{4C218DC6-5D7A-422F-B2DF-407E4D5D7D60}" sibTransId="{69EF870A-1879-4AFE-BC85-70D3B15A0A32}"/>
    <dgm:cxn modelId="{BCCA8848-BAA4-4297-9181-2FA7492C77D4}" srcId="{4E6EDD69-9C44-4CB4-A518-CEFEE94E84B8}" destId="{61D362AC-2FB1-4057-8971-479983B2A3E4}" srcOrd="3" destOrd="0" parTransId="{BA294B7E-4DE4-412B-AE91-64D8ECDBE1A7}" sibTransId="{8F1E85C4-B165-4659-8FEF-26C8374C863A}"/>
    <dgm:cxn modelId="{BCB0EC56-53FD-495E-BBE8-D589CDB98362}" type="presOf" srcId="{7366F6C0-571C-43EC-9976-517C1C6DBE21}" destId="{46ECDB7B-73FC-4A35-A573-D4D73EB7095F}" srcOrd="0" destOrd="0" presId="urn:diagrams.loki3.com/VaryingWidthList"/>
    <dgm:cxn modelId="{6613A389-11DC-4056-9577-21A3F121DF87}" type="presOf" srcId="{0952E3F2-8F6C-4C99-A48E-94D2A2ACE560}" destId="{025B36E0-56B1-4CBA-822D-F34D0C991F37}" srcOrd="0" destOrd="0" presId="urn:diagrams.loki3.com/VaryingWidthList"/>
    <dgm:cxn modelId="{1174C791-9235-43AA-BB19-36BAEC1A2312}" srcId="{4E6EDD69-9C44-4CB4-A518-CEFEE94E84B8}" destId="{7366F6C0-571C-43EC-9976-517C1C6DBE21}" srcOrd="2" destOrd="0" parTransId="{A39C95D8-AD81-4B5A-A9B5-4B17D458F476}" sibTransId="{A9A5B43E-2536-4476-8E5C-7AA6F014AD70}"/>
    <dgm:cxn modelId="{0848459E-FFDF-4BD3-AB5C-3C4343F1B64A}" srcId="{4E6EDD69-9C44-4CB4-A518-CEFEE94E84B8}" destId="{109EE87C-E4C6-4306-808B-E561EF5E4A58}" srcOrd="1" destOrd="0" parTransId="{8AA6B1DD-CC19-4DEA-8C72-7AC9431AA1A5}" sibTransId="{E551B27B-2E7F-4A7B-9BFB-3F7ED3F1429A}"/>
    <dgm:cxn modelId="{1C3294B7-C8AA-460A-AC06-86EF681926C1}" srcId="{4E6EDD69-9C44-4CB4-A518-CEFEE94E84B8}" destId="{E6CF11BE-E311-4B0D-A4E0-A728DDE29EAB}" srcOrd="4" destOrd="0" parTransId="{5642B876-A70B-4E49-8B64-8A6F55D78A7A}" sibTransId="{BA40FE15-63B8-4B1D-B02F-13542D50A9F2}"/>
    <dgm:cxn modelId="{846F15C2-CB24-4FFF-B810-6088ACFE0474}" srcId="{4E6EDD69-9C44-4CB4-A518-CEFEE94E84B8}" destId="{0952E3F2-8F6C-4C99-A48E-94D2A2ACE560}" srcOrd="0" destOrd="0" parTransId="{5C067421-127D-4567-AAB9-F78E7BB39D73}" sibTransId="{E64A5508-4A79-46D1-8A0C-2D889B73FA4E}"/>
    <dgm:cxn modelId="{DB9D90C5-7F37-4530-AF36-FC07035FA356}" type="presOf" srcId="{E6CF11BE-E311-4B0D-A4E0-A728DDE29EAB}" destId="{D8E2FE8D-C3D2-4EBC-9773-D265C3C2EACA}" srcOrd="0" destOrd="0" presId="urn:diagrams.loki3.com/VaryingWidthList"/>
    <dgm:cxn modelId="{6AFECFE3-4108-450A-BD29-2087BA4689A6}" type="presOf" srcId="{4E6EDD69-9C44-4CB4-A518-CEFEE94E84B8}" destId="{3B948F1B-1E03-4857-ABF6-130ADC750B99}" srcOrd="0" destOrd="0" presId="urn:diagrams.loki3.com/VaryingWidthList"/>
    <dgm:cxn modelId="{3851F2E8-A717-47AD-A9C7-1B1775558AF6}" type="presOf" srcId="{109EE87C-E4C6-4306-808B-E561EF5E4A58}" destId="{7A4E30F8-CB3F-43C1-97A7-C4BD572426CC}" srcOrd="0" destOrd="0" presId="urn:diagrams.loki3.com/VaryingWidthList"/>
    <dgm:cxn modelId="{64B006EA-94CB-43FB-B8A0-2EB73733CE80}" type="presOf" srcId="{89B6B41E-7CFB-4B23-B985-2B735E382128}" destId="{2132BDE0-1985-48FF-AA05-925E7024CA2D}" srcOrd="0" destOrd="0" presId="urn:diagrams.loki3.com/VaryingWidthList"/>
    <dgm:cxn modelId="{EE2369A3-AB40-4F45-A49A-E8651C90A079}" type="presParOf" srcId="{3B948F1B-1E03-4857-ABF6-130ADC750B99}" destId="{025B36E0-56B1-4CBA-822D-F34D0C991F37}" srcOrd="0" destOrd="0" presId="urn:diagrams.loki3.com/VaryingWidthList"/>
    <dgm:cxn modelId="{0A1E05CA-AEC3-4DEA-B0C3-B04082B19E13}" type="presParOf" srcId="{3B948F1B-1E03-4857-ABF6-130ADC750B99}" destId="{176B178D-0C2E-43F0-8D15-8FD7E4AD5679}" srcOrd="1" destOrd="0" presId="urn:diagrams.loki3.com/VaryingWidthList"/>
    <dgm:cxn modelId="{343E2CBC-A238-426E-9FE1-E3B463791443}" type="presParOf" srcId="{3B948F1B-1E03-4857-ABF6-130ADC750B99}" destId="{7A4E30F8-CB3F-43C1-97A7-C4BD572426CC}" srcOrd="2" destOrd="0" presId="urn:diagrams.loki3.com/VaryingWidthList"/>
    <dgm:cxn modelId="{D9F63EB7-8234-4383-901B-36CF5B4CAC7A}" type="presParOf" srcId="{3B948F1B-1E03-4857-ABF6-130ADC750B99}" destId="{B2D18087-6B2A-4C59-AF81-9C2FF2E7B427}" srcOrd="3" destOrd="0" presId="urn:diagrams.loki3.com/VaryingWidthList"/>
    <dgm:cxn modelId="{89C6EAA5-A800-4AE2-9478-F0403F211594}" type="presParOf" srcId="{3B948F1B-1E03-4857-ABF6-130ADC750B99}" destId="{46ECDB7B-73FC-4A35-A573-D4D73EB7095F}" srcOrd="4" destOrd="0" presId="urn:diagrams.loki3.com/VaryingWidthList"/>
    <dgm:cxn modelId="{40F7EC01-5578-4D3C-8AB3-2D02D6EC5830}" type="presParOf" srcId="{3B948F1B-1E03-4857-ABF6-130ADC750B99}" destId="{77D51D73-B0D0-4E52-93FE-A78C53EF70C1}" srcOrd="5" destOrd="0" presId="urn:diagrams.loki3.com/VaryingWidthList"/>
    <dgm:cxn modelId="{63AF9EB5-FFDC-4B88-BD5C-15702AD8D9FB}" type="presParOf" srcId="{3B948F1B-1E03-4857-ABF6-130ADC750B99}" destId="{A98C97AC-6695-4AD2-B2A8-05E72FD42F48}" srcOrd="6" destOrd="0" presId="urn:diagrams.loki3.com/VaryingWidthList"/>
    <dgm:cxn modelId="{25EC57E4-76D9-4C13-A3BF-90E8DDC7DDF9}" type="presParOf" srcId="{3B948F1B-1E03-4857-ABF6-130ADC750B99}" destId="{E4A00B97-9A55-4812-A9D7-923F9BEB56FB}" srcOrd="7" destOrd="0" presId="urn:diagrams.loki3.com/VaryingWidthList"/>
    <dgm:cxn modelId="{34750503-E7B1-43E8-A9DF-FBB10BE3B49E}" type="presParOf" srcId="{3B948F1B-1E03-4857-ABF6-130ADC750B99}" destId="{D8E2FE8D-C3D2-4EBC-9773-D265C3C2EACA}" srcOrd="8" destOrd="0" presId="urn:diagrams.loki3.com/VaryingWidthList"/>
    <dgm:cxn modelId="{AB6447C8-0F5B-4337-AAD1-6663C3BB0811}" type="presParOf" srcId="{3B948F1B-1E03-4857-ABF6-130ADC750B99}" destId="{1CDD9AEA-1ABE-4E9A-8949-A3E31AF8EE64}" srcOrd="9" destOrd="0" presId="urn:diagrams.loki3.com/VaryingWidthList"/>
    <dgm:cxn modelId="{56FA0DFA-5846-4AEC-AD68-B12BB7D80664}" type="presParOf" srcId="{3B948F1B-1E03-4857-ABF6-130ADC750B99}" destId="{2132BDE0-1985-48FF-AA05-925E7024CA2D}" srcOrd="10" destOrd="0" presId="urn:diagrams.loki3.com/VaryingWidth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6EDD69-9C44-4CB4-A518-CEFEE94E84B8}" type="doc">
      <dgm:prSet loTypeId="urn:diagrams.loki3.com/VaryingWidthList" loCatId="list" qsTypeId="urn:microsoft.com/office/officeart/2005/8/quickstyle/simple1" qsCatId="simple" csTypeId="urn:microsoft.com/office/officeart/2005/8/colors/accent2_5" csCatId="accent2" phldr="1"/>
      <dgm:spPr/>
      <dgm:t>
        <a:bodyPr/>
        <a:lstStyle/>
        <a:p>
          <a:endParaRPr lang="en-NZ"/>
        </a:p>
      </dgm:t>
    </dgm:pt>
    <dgm:pt modelId="{0952E3F2-8F6C-4C99-A48E-94D2A2ACE560}">
      <dgm:prSet phldrT="[Text]" custT="1"/>
      <dgm:spPr/>
      <dgm:t>
        <a:bodyPr/>
        <a:lstStyle/>
        <a:p>
          <a:r>
            <a:rPr lang="en-NZ" sz="1000" b="1">
              <a:solidFill>
                <a:sysClr val="windowText" lastClr="000000"/>
              </a:solidFill>
            </a:rPr>
            <a:t>International</a:t>
          </a:r>
        </a:p>
      </dgm:t>
    </dgm:pt>
    <dgm:pt modelId="{5C067421-127D-4567-AAB9-F78E7BB39D73}" type="parTrans" cxnId="{846F15C2-CB24-4FFF-B810-6088ACFE0474}">
      <dgm:prSet/>
      <dgm:spPr/>
      <dgm:t>
        <a:bodyPr/>
        <a:lstStyle/>
        <a:p>
          <a:endParaRPr lang="en-NZ" sz="1000" b="1">
            <a:solidFill>
              <a:sysClr val="windowText" lastClr="000000"/>
            </a:solidFill>
          </a:endParaRPr>
        </a:p>
      </dgm:t>
    </dgm:pt>
    <dgm:pt modelId="{E64A5508-4A79-46D1-8A0C-2D889B73FA4E}" type="sibTrans" cxnId="{846F15C2-CB24-4FFF-B810-6088ACFE0474}">
      <dgm:prSet/>
      <dgm:spPr/>
      <dgm:t>
        <a:bodyPr/>
        <a:lstStyle/>
        <a:p>
          <a:endParaRPr lang="en-NZ" sz="1000" b="1">
            <a:solidFill>
              <a:sysClr val="windowText" lastClr="000000"/>
            </a:solidFill>
          </a:endParaRPr>
        </a:p>
      </dgm:t>
    </dgm:pt>
    <dgm:pt modelId="{109EE87C-E4C6-4306-808B-E561EF5E4A58}">
      <dgm:prSet phldrT="[Text]" custT="1"/>
      <dgm:spPr/>
      <dgm:t>
        <a:bodyPr/>
        <a:lstStyle/>
        <a:p>
          <a:r>
            <a:rPr lang="en-NZ" sz="1000" b="1">
              <a:solidFill>
                <a:sysClr val="windowText" lastClr="000000"/>
              </a:solidFill>
            </a:rPr>
            <a:t>National</a:t>
          </a:r>
        </a:p>
      </dgm:t>
    </dgm:pt>
    <dgm:pt modelId="{8AA6B1DD-CC19-4DEA-8C72-7AC9431AA1A5}" type="parTrans" cxnId="{0848459E-FFDF-4BD3-AB5C-3C4343F1B64A}">
      <dgm:prSet/>
      <dgm:spPr/>
      <dgm:t>
        <a:bodyPr/>
        <a:lstStyle/>
        <a:p>
          <a:endParaRPr lang="en-NZ" sz="1000" b="1">
            <a:solidFill>
              <a:sysClr val="windowText" lastClr="000000"/>
            </a:solidFill>
          </a:endParaRPr>
        </a:p>
      </dgm:t>
    </dgm:pt>
    <dgm:pt modelId="{E551B27B-2E7F-4A7B-9BFB-3F7ED3F1429A}" type="sibTrans" cxnId="{0848459E-FFDF-4BD3-AB5C-3C4343F1B64A}">
      <dgm:prSet/>
      <dgm:spPr/>
      <dgm:t>
        <a:bodyPr/>
        <a:lstStyle/>
        <a:p>
          <a:endParaRPr lang="en-NZ" sz="1000" b="1">
            <a:solidFill>
              <a:sysClr val="windowText" lastClr="000000"/>
            </a:solidFill>
          </a:endParaRPr>
        </a:p>
      </dgm:t>
    </dgm:pt>
    <dgm:pt modelId="{7366F6C0-571C-43EC-9976-517C1C6DBE21}">
      <dgm:prSet phldrT="[Text]" custT="1"/>
      <dgm:spPr/>
      <dgm:t>
        <a:bodyPr/>
        <a:lstStyle/>
        <a:p>
          <a:r>
            <a:rPr lang="en-NZ" sz="1000" b="1">
              <a:solidFill>
                <a:sysClr val="windowText" lastClr="000000"/>
              </a:solidFill>
            </a:rPr>
            <a:t>Regional</a:t>
          </a:r>
        </a:p>
      </dgm:t>
    </dgm:pt>
    <dgm:pt modelId="{A39C95D8-AD81-4B5A-A9B5-4B17D458F476}" type="parTrans" cxnId="{1174C791-9235-43AA-BB19-36BAEC1A2312}">
      <dgm:prSet/>
      <dgm:spPr/>
      <dgm:t>
        <a:bodyPr/>
        <a:lstStyle/>
        <a:p>
          <a:endParaRPr lang="en-NZ" sz="1000" b="1">
            <a:solidFill>
              <a:sysClr val="windowText" lastClr="000000"/>
            </a:solidFill>
          </a:endParaRPr>
        </a:p>
      </dgm:t>
    </dgm:pt>
    <dgm:pt modelId="{A9A5B43E-2536-4476-8E5C-7AA6F014AD70}" type="sibTrans" cxnId="{1174C791-9235-43AA-BB19-36BAEC1A2312}">
      <dgm:prSet/>
      <dgm:spPr/>
      <dgm:t>
        <a:bodyPr/>
        <a:lstStyle/>
        <a:p>
          <a:endParaRPr lang="en-NZ" sz="1000" b="1">
            <a:solidFill>
              <a:sysClr val="windowText" lastClr="000000"/>
            </a:solidFill>
          </a:endParaRPr>
        </a:p>
      </dgm:t>
    </dgm:pt>
    <dgm:pt modelId="{61D362AC-2FB1-4057-8971-479983B2A3E4}">
      <dgm:prSet custT="1"/>
      <dgm:spPr/>
      <dgm:t>
        <a:bodyPr/>
        <a:lstStyle/>
        <a:p>
          <a:r>
            <a:rPr lang="en-NZ" sz="1000" b="1">
              <a:solidFill>
                <a:sysClr val="windowText" lastClr="000000"/>
              </a:solidFill>
            </a:rPr>
            <a:t>Sub-regional</a:t>
          </a:r>
        </a:p>
      </dgm:t>
    </dgm:pt>
    <dgm:pt modelId="{BA294B7E-4DE4-412B-AE91-64D8ECDBE1A7}" type="parTrans" cxnId="{BCCA8848-BAA4-4297-9181-2FA7492C77D4}">
      <dgm:prSet/>
      <dgm:spPr/>
      <dgm:t>
        <a:bodyPr/>
        <a:lstStyle/>
        <a:p>
          <a:endParaRPr lang="en-NZ" sz="1000" b="1">
            <a:solidFill>
              <a:sysClr val="windowText" lastClr="000000"/>
            </a:solidFill>
          </a:endParaRPr>
        </a:p>
      </dgm:t>
    </dgm:pt>
    <dgm:pt modelId="{8F1E85C4-B165-4659-8FEF-26C8374C863A}" type="sibTrans" cxnId="{BCCA8848-BAA4-4297-9181-2FA7492C77D4}">
      <dgm:prSet/>
      <dgm:spPr/>
      <dgm:t>
        <a:bodyPr/>
        <a:lstStyle/>
        <a:p>
          <a:endParaRPr lang="en-NZ" sz="1000" b="1">
            <a:solidFill>
              <a:sysClr val="windowText" lastClr="000000"/>
            </a:solidFill>
          </a:endParaRPr>
        </a:p>
      </dgm:t>
    </dgm:pt>
    <dgm:pt modelId="{E6CF11BE-E311-4B0D-A4E0-A728DDE29EAB}">
      <dgm:prSet custT="1"/>
      <dgm:spPr/>
      <dgm:t>
        <a:bodyPr/>
        <a:lstStyle/>
        <a:p>
          <a:r>
            <a:rPr lang="en-NZ" sz="1000" b="1">
              <a:solidFill>
                <a:sysClr val="windowText" lastClr="000000"/>
              </a:solidFill>
            </a:rPr>
            <a:t>City/District</a:t>
          </a:r>
        </a:p>
      </dgm:t>
    </dgm:pt>
    <dgm:pt modelId="{5642B876-A70B-4E49-8B64-8A6F55D78A7A}" type="parTrans" cxnId="{1C3294B7-C8AA-460A-AC06-86EF681926C1}">
      <dgm:prSet/>
      <dgm:spPr/>
      <dgm:t>
        <a:bodyPr/>
        <a:lstStyle/>
        <a:p>
          <a:endParaRPr lang="en-NZ" sz="1000" b="1">
            <a:solidFill>
              <a:sysClr val="windowText" lastClr="000000"/>
            </a:solidFill>
          </a:endParaRPr>
        </a:p>
      </dgm:t>
    </dgm:pt>
    <dgm:pt modelId="{BA40FE15-63B8-4B1D-B02F-13542D50A9F2}" type="sibTrans" cxnId="{1C3294B7-C8AA-460A-AC06-86EF681926C1}">
      <dgm:prSet/>
      <dgm:spPr/>
      <dgm:t>
        <a:bodyPr/>
        <a:lstStyle/>
        <a:p>
          <a:endParaRPr lang="en-NZ" sz="1000" b="1">
            <a:solidFill>
              <a:sysClr val="windowText" lastClr="000000"/>
            </a:solidFill>
          </a:endParaRPr>
        </a:p>
      </dgm:t>
    </dgm:pt>
    <dgm:pt modelId="{89B6B41E-7CFB-4B23-B985-2B735E382128}">
      <dgm:prSet custT="1"/>
      <dgm:spPr/>
      <dgm:t>
        <a:bodyPr/>
        <a:lstStyle/>
        <a:p>
          <a:r>
            <a:rPr lang="en-NZ" sz="1000" b="1">
              <a:solidFill>
                <a:sysClr val="windowText" lastClr="000000"/>
              </a:solidFill>
            </a:rPr>
            <a:t>Local</a:t>
          </a:r>
        </a:p>
      </dgm:t>
    </dgm:pt>
    <dgm:pt modelId="{4C218DC6-5D7A-422F-B2DF-407E4D5D7D60}" type="parTrans" cxnId="{DEA44F13-058D-4378-8A7A-BB49AB69B59D}">
      <dgm:prSet/>
      <dgm:spPr/>
      <dgm:t>
        <a:bodyPr/>
        <a:lstStyle/>
        <a:p>
          <a:endParaRPr lang="en-NZ" sz="1000" b="1">
            <a:solidFill>
              <a:sysClr val="windowText" lastClr="000000"/>
            </a:solidFill>
          </a:endParaRPr>
        </a:p>
      </dgm:t>
    </dgm:pt>
    <dgm:pt modelId="{69EF870A-1879-4AFE-BC85-70D3B15A0A32}" type="sibTrans" cxnId="{DEA44F13-058D-4378-8A7A-BB49AB69B59D}">
      <dgm:prSet/>
      <dgm:spPr/>
      <dgm:t>
        <a:bodyPr/>
        <a:lstStyle/>
        <a:p>
          <a:endParaRPr lang="en-NZ" sz="1000" b="1">
            <a:solidFill>
              <a:sysClr val="windowText" lastClr="000000"/>
            </a:solidFill>
          </a:endParaRPr>
        </a:p>
      </dgm:t>
    </dgm:pt>
    <dgm:pt modelId="{3B948F1B-1E03-4857-ABF6-130ADC750B99}" type="pres">
      <dgm:prSet presAssocID="{4E6EDD69-9C44-4CB4-A518-CEFEE94E84B8}" presName="Name0" presStyleCnt="0">
        <dgm:presLayoutVars>
          <dgm:resizeHandles/>
        </dgm:presLayoutVars>
      </dgm:prSet>
      <dgm:spPr/>
    </dgm:pt>
    <dgm:pt modelId="{025B36E0-56B1-4CBA-822D-F34D0C991F37}" type="pres">
      <dgm:prSet presAssocID="{0952E3F2-8F6C-4C99-A48E-94D2A2ACE560}" presName="text" presStyleLbl="node1" presStyleIdx="0" presStyleCnt="6" custScaleX="137262" custLinFactNeighborX="-1283" custLinFactNeighborY="-52005">
        <dgm:presLayoutVars>
          <dgm:bulletEnabled val="1"/>
        </dgm:presLayoutVars>
      </dgm:prSet>
      <dgm:spPr/>
    </dgm:pt>
    <dgm:pt modelId="{176B178D-0C2E-43F0-8D15-8FD7E4AD5679}" type="pres">
      <dgm:prSet presAssocID="{E64A5508-4A79-46D1-8A0C-2D889B73FA4E}" presName="space" presStyleCnt="0"/>
      <dgm:spPr/>
    </dgm:pt>
    <dgm:pt modelId="{7A4E30F8-CB3F-43C1-97A7-C4BD572426CC}" type="pres">
      <dgm:prSet presAssocID="{109EE87C-E4C6-4306-808B-E561EF5E4A58}" presName="text" presStyleLbl="node1" presStyleIdx="1" presStyleCnt="6" custScaleX="138906">
        <dgm:presLayoutVars>
          <dgm:bulletEnabled val="1"/>
        </dgm:presLayoutVars>
      </dgm:prSet>
      <dgm:spPr/>
    </dgm:pt>
    <dgm:pt modelId="{B2D18087-6B2A-4C59-AF81-9C2FF2E7B427}" type="pres">
      <dgm:prSet presAssocID="{E551B27B-2E7F-4A7B-9BFB-3F7ED3F1429A}" presName="space" presStyleCnt="0"/>
      <dgm:spPr/>
    </dgm:pt>
    <dgm:pt modelId="{46ECDB7B-73FC-4A35-A573-D4D73EB7095F}" type="pres">
      <dgm:prSet presAssocID="{7366F6C0-571C-43EC-9976-517C1C6DBE21}" presName="text" presStyleLbl="node1" presStyleIdx="2" presStyleCnt="6" custScaleX="138906">
        <dgm:presLayoutVars>
          <dgm:bulletEnabled val="1"/>
        </dgm:presLayoutVars>
      </dgm:prSet>
      <dgm:spPr/>
    </dgm:pt>
    <dgm:pt modelId="{77D51D73-B0D0-4E52-93FE-A78C53EF70C1}" type="pres">
      <dgm:prSet presAssocID="{A9A5B43E-2536-4476-8E5C-7AA6F014AD70}" presName="space" presStyleCnt="0"/>
      <dgm:spPr/>
    </dgm:pt>
    <dgm:pt modelId="{A98C97AC-6695-4AD2-B2A8-05E72FD42F48}" type="pres">
      <dgm:prSet presAssocID="{61D362AC-2FB1-4057-8971-479983B2A3E4}" presName="text" presStyleLbl="node1" presStyleIdx="3" presStyleCnt="6" custScaleX="138906">
        <dgm:presLayoutVars>
          <dgm:bulletEnabled val="1"/>
        </dgm:presLayoutVars>
      </dgm:prSet>
      <dgm:spPr/>
    </dgm:pt>
    <dgm:pt modelId="{E4A00B97-9A55-4812-A9D7-923F9BEB56FB}" type="pres">
      <dgm:prSet presAssocID="{8F1E85C4-B165-4659-8FEF-26C8374C863A}" presName="space" presStyleCnt="0"/>
      <dgm:spPr/>
    </dgm:pt>
    <dgm:pt modelId="{D8E2FE8D-C3D2-4EBC-9773-D265C3C2EACA}" type="pres">
      <dgm:prSet presAssocID="{E6CF11BE-E311-4B0D-A4E0-A728DDE29EAB}" presName="text" presStyleLbl="node1" presStyleIdx="4" presStyleCnt="6" custScaleX="138906">
        <dgm:presLayoutVars>
          <dgm:bulletEnabled val="1"/>
        </dgm:presLayoutVars>
      </dgm:prSet>
      <dgm:spPr/>
    </dgm:pt>
    <dgm:pt modelId="{1CDD9AEA-1ABE-4E9A-8949-A3E31AF8EE64}" type="pres">
      <dgm:prSet presAssocID="{BA40FE15-63B8-4B1D-B02F-13542D50A9F2}" presName="space" presStyleCnt="0"/>
      <dgm:spPr/>
    </dgm:pt>
    <dgm:pt modelId="{2132BDE0-1985-48FF-AA05-925E7024CA2D}" type="pres">
      <dgm:prSet presAssocID="{89B6B41E-7CFB-4B23-B985-2B735E382128}" presName="text" presStyleLbl="node1" presStyleIdx="5" presStyleCnt="6" custScaleX="138906">
        <dgm:presLayoutVars>
          <dgm:bulletEnabled val="1"/>
        </dgm:presLayoutVars>
      </dgm:prSet>
      <dgm:spPr/>
    </dgm:pt>
  </dgm:ptLst>
  <dgm:cxnLst>
    <dgm:cxn modelId="{D1DE8400-81FE-4E01-9437-5B25515FC458}" type="presOf" srcId="{61D362AC-2FB1-4057-8971-479983B2A3E4}" destId="{A98C97AC-6695-4AD2-B2A8-05E72FD42F48}" srcOrd="0" destOrd="0" presId="urn:diagrams.loki3.com/VaryingWidthList"/>
    <dgm:cxn modelId="{DEA44F13-058D-4378-8A7A-BB49AB69B59D}" srcId="{4E6EDD69-9C44-4CB4-A518-CEFEE94E84B8}" destId="{89B6B41E-7CFB-4B23-B985-2B735E382128}" srcOrd="5" destOrd="0" parTransId="{4C218DC6-5D7A-422F-B2DF-407E4D5D7D60}" sibTransId="{69EF870A-1879-4AFE-BC85-70D3B15A0A32}"/>
    <dgm:cxn modelId="{BCCA8848-BAA4-4297-9181-2FA7492C77D4}" srcId="{4E6EDD69-9C44-4CB4-A518-CEFEE94E84B8}" destId="{61D362AC-2FB1-4057-8971-479983B2A3E4}" srcOrd="3" destOrd="0" parTransId="{BA294B7E-4DE4-412B-AE91-64D8ECDBE1A7}" sibTransId="{8F1E85C4-B165-4659-8FEF-26C8374C863A}"/>
    <dgm:cxn modelId="{BCB0EC56-53FD-495E-BBE8-D589CDB98362}" type="presOf" srcId="{7366F6C0-571C-43EC-9976-517C1C6DBE21}" destId="{46ECDB7B-73FC-4A35-A573-D4D73EB7095F}" srcOrd="0" destOrd="0" presId="urn:diagrams.loki3.com/VaryingWidthList"/>
    <dgm:cxn modelId="{6613A389-11DC-4056-9577-21A3F121DF87}" type="presOf" srcId="{0952E3F2-8F6C-4C99-A48E-94D2A2ACE560}" destId="{025B36E0-56B1-4CBA-822D-F34D0C991F37}" srcOrd="0" destOrd="0" presId="urn:diagrams.loki3.com/VaryingWidthList"/>
    <dgm:cxn modelId="{1174C791-9235-43AA-BB19-36BAEC1A2312}" srcId="{4E6EDD69-9C44-4CB4-A518-CEFEE94E84B8}" destId="{7366F6C0-571C-43EC-9976-517C1C6DBE21}" srcOrd="2" destOrd="0" parTransId="{A39C95D8-AD81-4B5A-A9B5-4B17D458F476}" sibTransId="{A9A5B43E-2536-4476-8E5C-7AA6F014AD70}"/>
    <dgm:cxn modelId="{0848459E-FFDF-4BD3-AB5C-3C4343F1B64A}" srcId="{4E6EDD69-9C44-4CB4-A518-CEFEE94E84B8}" destId="{109EE87C-E4C6-4306-808B-E561EF5E4A58}" srcOrd="1" destOrd="0" parTransId="{8AA6B1DD-CC19-4DEA-8C72-7AC9431AA1A5}" sibTransId="{E551B27B-2E7F-4A7B-9BFB-3F7ED3F1429A}"/>
    <dgm:cxn modelId="{1C3294B7-C8AA-460A-AC06-86EF681926C1}" srcId="{4E6EDD69-9C44-4CB4-A518-CEFEE94E84B8}" destId="{E6CF11BE-E311-4B0D-A4E0-A728DDE29EAB}" srcOrd="4" destOrd="0" parTransId="{5642B876-A70B-4E49-8B64-8A6F55D78A7A}" sibTransId="{BA40FE15-63B8-4B1D-B02F-13542D50A9F2}"/>
    <dgm:cxn modelId="{846F15C2-CB24-4FFF-B810-6088ACFE0474}" srcId="{4E6EDD69-9C44-4CB4-A518-CEFEE94E84B8}" destId="{0952E3F2-8F6C-4C99-A48E-94D2A2ACE560}" srcOrd="0" destOrd="0" parTransId="{5C067421-127D-4567-AAB9-F78E7BB39D73}" sibTransId="{E64A5508-4A79-46D1-8A0C-2D889B73FA4E}"/>
    <dgm:cxn modelId="{DB9D90C5-7F37-4530-AF36-FC07035FA356}" type="presOf" srcId="{E6CF11BE-E311-4B0D-A4E0-A728DDE29EAB}" destId="{D8E2FE8D-C3D2-4EBC-9773-D265C3C2EACA}" srcOrd="0" destOrd="0" presId="urn:diagrams.loki3.com/VaryingWidthList"/>
    <dgm:cxn modelId="{6AFECFE3-4108-450A-BD29-2087BA4689A6}" type="presOf" srcId="{4E6EDD69-9C44-4CB4-A518-CEFEE94E84B8}" destId="{3B948F1B-1E03-4857-ABF6-130ADC750B99}" srcOrd="0" destOrd="0" presId="urn:diagrams.loki3.com/VaryingWidthList"/>
    <dgm:cxn modelId="{3851F2E8-A717-47AD-A9C7-1B1775558AF6}" type="presOf" srcId="{109EE87C-E4C6-4306-808B-E561EF5E4A58}" destId="{7A4E30F8-CB3F-43C1-97A7-C4BD572426CC}" srcOrd="0" destOrd="0" presId="urn:diagrams.loki3.com/VaryingWidthList"/>
    <dgm:cxn modelId="{64B006EA-94CB-43FB-B8A0-2EB73733CE80}" type="presOf" srcId="{89B6B41E-7CFB-4B23-B985-2B735E382128}" destId="{2132BDE0-1985-48FF-AA05-925E7024CA2D}" srcOrd="0" destOrd="0" presId="urn:diagrams.loki3.com/VaryingWidthList"/>
    <dgm:cxn modelId="{EE2369A3-AB40-4F45-A49A-E8651C90A079}" type="presParOf" srcId="{3B948F1B-1E03-4857-ABF6-130ADC750B99}" destId="{025B36E0-56B1-4CBA-822D-F34D0C991F37}" srcOrd="0" destOrd="0" presId="urn:diagrams.loki3.com/VaryingWidthList"/>
    <dgm:cxn modelId="{0A1E05CA-AEC3-4DEA-B0C3-B04082B19E13}" type="presParOf" srcId="{3B948F1B-1E03-4857-ABF6-130ADC750B99}" destId="{176B178D-0C2E-43F0-8D15-8FD7E4AD5679}" srcOrd="1" destOrd="0" presId="urn:diagrams.loki3.com/VaryingWidthList"/>
    <dgm:cxn modelId="{343E2CBC-A238-426E-9FE1-E3B463791443}" type="presParOf" srcId="{3B948F1B-1E03-4857-ABF6-130ADC750B99}" destId="{7A4E30F8-CB3F-43C1-97A7-C4BD572426CC}" srcOrd="2" destOrd="0" presId="urn:diagrams.loki3.com/VaryingWidthList"/>
    <dgm:cxn modelId="{D9F63EB7-8234-4383-901B-36CF5B4CAC7A}" type="presParOf" srcId="{3B948F1B-1E03-4857-ABF6-130ADC750B99}" destId="{B2D18087-6B2A-4C59-AF81-9C2FF2E7B427}" srcOrd="3" destOrd="0" presId="urn:diagrams.loki3.com/VaryingWidthList"/>
    <dgm:cxn modelId="{89C6EAA5-A800-4AE2-9478-F0403F211594}" type="presParOf" srcId="{3B948F1B-1E03-4857-ABF6-130ADC750B99}" destId="{46ECDB7B-73FC-4A35-A573-D4D73EB7095F}" srcOrd="4" destOrd="0" presId="urn:diagrams.loki3.com/VaryingWidthList"/>
    <dgm:cxn modelId="{40F7EC01-5578-4D3C-8AB3-2D02D6EC5830}" type="presParOf" srcId="{3B948F1B-1E03-4857-ABF6-130ADC750B99}" destId="{77D51D73-B0D0-4E52-93FE-A78C53EF70C1}" srcOrd="5" destOrd="0" presId="urn:diagrams.loki3.com/VaryingWidthList"/>
    <dgm:cxn modelId="{63AF9EB5-FFDC-4B88-BD5C-15702AD8D9FB}" type="presParOf" srcId="{3B948F1B-1E03-4857-ABF6-130ADC750B99}" destId="{A98C97AC-6695-4AD2-B2A8-05E72FD42F48}" srcOrd="6" destOrd="0" presId="urn:diagrams.loki3.com/VaryingWidthList"/>
    <dgm:cxn modelId="{25EC57E4-76D9-4C13-A3BF-90E8DDC7DDF9}" type="presParOf" srcId="{3B948F1B-1E03-4857-ABF6-130ADC750B99}" destId="{E4A00B97-9A55-4812-A9D7-923F9BEB56FB}" srcOrd="7" destOrd="0" presId="urn:diagrams.loki3.com/VaryingWidthList"/>
    <dgm:cxn modelId="{34750503-E7B1-43E8-A9DF-FBB10BE3B49E}" type="presParOf" srcId="{3B948F1B-1E03-4857-ABF6-130ADC750B99}" destId="{D8E2FE8D-C3D2-4EBC-9773-D265C3C2EACA}" srcOrd="8" destOrd="0" presId="urn:diagrams.loki3.com/VaryingWidthList"/>
    <dgm:cxn modelId="{AB6447C8-0F5B-4337-AAD1-6663C3BB0811}" type="presParOf" srcId="{3B948F1B-1E03-4857-ABF6-130ADC750B99}" destId="{1CDD9AEA-1ABE-4E9A-8949-A3E31AF8EE64}" srcOrd="9" destOrd="0" presId="urn:diagrams.loki3.com/VaryingWidthList"/>
    <dgm:cxn modelId="{56FA0DFA-5846-4AEC-AD68-B12BB7D80664}" type="presParOf" srcId="{3B948F1B-1E03-4857-ABF6-130ADC750B99}" destId="{2132BDE0-1985-48FF-AA05-925E7024CA2D}" srcOrd="10" destOrd="0" presId="urn:diagrams.loki3.com/VaryingWidth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6EDD69-9C44-4CB4-A518-CEFEE94E84B8}" type="doc">
      <dgm:prSet loTypeId="urn:diagrams.loki3.com/VaryingWidthList" loCatId="list" qsTypeId="urn:microsoft.com/office/officeart/2005/8/quickstyle/simple1" qsCatId="simple" csTypeId="urn:microsoft.com/office/officeart/2005/8/colors/accent2_5" csCatId="accent2" phldr="1"/>
      <dgm:spPr/>
      <dgm:t>
        <a:bodyPr/>
        <a:lstStyle/>
        <a:p>
          <a:endParaRPr lang="en-NZ"/>
        </a:p>
      </dgm:t>
    </dgm:pt>
    <dgm:pt modelId="{0952E3F2-8F6C-4C99-A48E-94D2A2ACE560}">
      <dgm:prSet phldrT="[Text]" custT="1"/>
      <dgm:spPr/>
      <dgm:t>
        <a:bodyPr/>
        <a:lstStyle/>
        <a:p>
          <a:r>
            <a:rPr lang="en-NZ" sz="1000" b="1">
              <a:solidFill>
                <a:sysClr val="windowText" lastClr="000000"/>
              </a:solidFill>
            </a:rPr>
            <a:t>Westpac Stadium</a:t>
          </a:r>
        </a:p>
      </dgm:t>
    </dgm:pt>
    <dgm:pt modelId="{5C067421-127D-4567-AAB9-F78E7BB39D73}" type="parTrans" cxnId="{846F15C2-CB24-4FFF-B810-6088ACFE0474}">
      <dgm:prSet/>
      <dgm:spPr/>
      <dgm:t>
        <a:bodyPr/>
        <a:lstStyle/>
        <a:p>
          <a:endParaRPr lang="en-NZ" sz="1000" b="1">
            <a:solidFill>
              <a:sysClr val="windowText" lastClr="000000"/>
            </a:solidFill>
          </a:endParaRPr>
        </a:p>
      </dgm:t>
    </dgm:pt>
    <dgm:pt modelId="{E64A5508-4A79-46D1-8A0C-2D889B73FA4E}" type="sibTrans" cxnId="{846F15C2-CB24-4FFF-B810-6088ACFE0474}">
      <dgm:prSet/>
      <dgm:spPr/>
      <dgm:t>
        <a:bodyPr/>
        <a:lstStyle/>
        <a:p>
          <a:endParaRPr lang="en-NZ" sz="1000" b="1">
            <a:solidFill>
              <a:sysClr val="windowText" lastClr="000000"/>
            </a:solidFill>
          </a:endParaRPr>
        </a:p>
      </dgm:t>
    </dgm:pt>
    <dgm:pt modelId="{109EE87C-E4C6-4306-808B-E561EF5E4A58}">
      <dgm:prSet phldrT="[Text]" custT="1"/>
      <dgm:spPr/>
      <dgm:t>
        <a:bodyPr/>
        <a:lstStyle/>
        <a:p>
          <a:r>
            <a:rPr lang="en-NZ" sz="1000" b="1">
              <a:solidFill>
                <a:sysClr val="windowText" lastClr="000000"/>
              </a:solidFill>
            </a:rPr>
            <a:t>Trust House turfs - Carterton</a:t>
          </a:r>
        </a:p>
      </dgm:t>
    </dgm:pt>
    <dgm:pt modelId="{8AA6B1DD-CC19-4DEA-8C72-7AC9431AA1A5}" type="parTrans" cxnId="{0848459E-FFDF-4BD3-AB5C-3C4343F1B64A}">
      <dgm:prSet/>
      <dgm:spPr/>
      <dgm:t>
        <a:bodyPr/>
        <a:lstStyle/>
        <a:p>
          <a:endParaRPr lang="en-NZ" sz="1000" b="1">
            <a:solidFill>
              <a:sysClr val="windowText" lastClr="000000"/>
            </a:solidFill>
          </a:endParaRPr>
        </a:p>
      </dgm:t>
    </dgm:pt>
    <dgm:pt modelId="{E551B27B-2E7F-4A7B-9BFB-3F7ED3F1429A}" type="sibTrans" cxnId="{0848459E-FFDF-4BD3-AB5C-3C4343F1B64A}">
      <dgm:prSet/>
      <dgm:spPr/>
      <dgm:t>
        <a:bodyPr/>
        <a:lstStyle/>
        <a:p>
          <a:endParaRPr lang="en-NZ" sz="1000" b="1">
            <a:solidFill>
              <a:sysClr val="windowText" lastClr="000000"/>
            </a:solidFill>
          </a:endParaRPr>
        </a:p>
      </dgm:t>
    </dgm:pt>
    <dgm:pt modelId="{7366F6C0-571C-43EC-9976-517C1C6DBE21}">
      <dgm:prSet phldrT="[Text]" custT="1"/>
      <dgm:spPr/>
      <dgm:t>
        <a:bodyPr/>
        <a:lstStyle/>
        <a:p>
          <a:r>
            <a:rPr lang="en-NZ" sz="1000" b="1">
              <a:solidFill>
                <a:sysClr val="windowText" lastClr="000000"/>
              </a:solidFill>
            </a:rPr>
            <a:t>Trentham Rifle Range</a:t>
          </a:r>
        </a:p>
      </dgm:t>
    </dgm:pt>
    <dgm:pt modelId="{A39C95D8-AD81-4B5A-A9B5-4B17D458F476}" type="parTrans" cxnId="{1174C791-9235-43AA-BB19-36BAEC1A2312}">
      <dgm:prSet/>
      <dgm:spPr/>
      <dgm:t>
        <a:bodyPr/>
        <a:lstStyle/>
        <a:p>
          <a:endParaRPr lang="en-NZ" sz="1000" b="1">
            <a:solidFill>
              <a:sysClr val="windowText" lastClr="000000"/>
            </a:solidFill>
          </a:endParaRPr>
        </a:p>
      </dgm:t>
    </dgm:pt>
    <dgm:pt modelId="{A9A5B43E-2536-4476-8E5C-7AA6F014AD70}" type="sibTrans" cxnId="{1174C791-9235-43AA-BB19-36BAEC1A2312}">
      <dgm:prSet/>
      <dgm:spPr/>
      <dgm:t>
        <a:bodyPr/>
        <a:lstStyle/>
        <a:p>
          <a:endParaRPr lang="en-NZ" sz="1000" b="1">
            <a:solidFill>
              <a:sysClr val="windowText" lastClr="000000"/>
            </a:solidFill>
          </a:endParaRPr>
        </a:p>
      </dgm:t>
    </dgm:pt>
    <dgm:pt modelId="{61D362AC-2FB1-4057-8971-479983B2A3E4}">
      <dgm:prSet custT="1"/>
      <dgm:spPr/>
      <dgm:t>
        <a:bodyPr/>
        <a:lstStyle/>
        <a:p>
          <a:r>
            <a:rPr lang="en-NZ" sz="1000" b="1">
              <a:solidFill>
                <a:sysClr val="windowText" lastClr="000000"/>
              </a:solidFill>
            </a:rPr>
            <a:t>Wairarapa Netball Centre</a:t>
          </a:r>
        </a:p>
      </dgm:t>
    </dgm:pt>
    <dgm:pt modelId="{BA294B7E-4DE4-412B-AE91-64D8ECDBE1A7}" type="parTrans" cxnId="{BCCA8848-BAA4-4297-9181-2FA7492C77D4}">
      <dgm:prSet/>
      <dgm:spPr/>
      <dgm:t>
        <a:bodyPr/>
        <a:lstStyle/>
        <a:p>
          <a:endParaRPr lang="en-NZ" sz="1000" b="1">
            <a:solidFill>
              <a:sysClr val="windowText" lastClr="000000"/>
            </a:solidFill>
          </a:endParaRPr>
        </a:p>
      </dgm:t>
    </dgm:pt>
    <dgm:pt modelId="{8F1E85C4-B165-4659-8FEF-26C8374C863A}" type="sibTrans" cxnId="{BCCA8848-BAA4-4297-9181-2FA7492C77D4}">
      <dgm:prSet/>
      <dgm:spPr/>
      <dgm:t>
        <a:bodyPr/>
        <a:lstStyle/>
        <a:p>
          <a:endParaRPr lang="en-NZ" sz="1000" b="1">
            <a:solidFill>
              <a:sysClr val="windowText" lastClr="000000"/>
            </a:solidFill>
          </a:endParaRPr>
        </a:p>
      </dgm:t>
    </dgm:pt>
    <dgm:pt modelId="{E6CF11BE-E311-4B0D-A4E0-A728DDE29EAB}">
      <dgm:prSet custT="1"/>
      <dgm:spPr/>
      <dgm:t>
        <a:bodyPr/>
        <a:lstStyle/>
        <a:p>
          <a:r>
            <a:rPr lang="en-NZ" sz="1000" b="1">
              <a:solidFill>
                <a:sysClr val="windowText" lastClr="000000"/>
              </a:solidFill>
            </a:rPr>
            <a:t>Naenae Park cricket pitches</a:t>
          </a:r>
        </a:p>
      </dgm:t>
    </dgm:pt>
    <dgm:pt modelId="{5642B876-A70B-4E49-8B64-8A6F55D78A7A}" type="parTrans" cxnId="{1C3294B7-C8AA-460A-AC06-86EF681926C1}">
      <dgm:prSet/>
      <dgm:spPr/>
      <dgm:t>
        <a:bodyPr/>
        <a:lstStyle/>
        <a:p>
          <a:endParaRPr lang="en-NZ" sz="1000" b="1">
            <a:solidFill>
              <a:sysClr val="windowText" lastClr="000000"/>
            </a:solidFill>
          </a:endParaRPr>
        </a:p>
      </dgm:t>
    </dgm:pt>
    <dgm:pt modelId="{BA40FE15-63B8-4B1D-B02F-13542D50A9F2}" type="sibTrans" cxnId="{1C3294B7-C8AA-460A-AC06-86EF681926C1}">
      <dgm:prSet/>
      <dgm:spPr/>
      <dgm:t>
        <a:bodyPr/>
        <a:lstStyle/>
        <a:p>
          <a:endParaRPr lang="en-NZ" sz="1000" b="1">
            <a:solidFill>
              <a:sysClr val="windowText" lastClr="000000"/>
            </a:solidFill>
          </a:endParaRPr>
        </a:p>
      </dgm:t>
    </dgm:pt>
    <dgm:pt modelId="{89B6B41E-7CFB-4B23-B985-2B735E382128}">
      <dgm:prSet custT="1"/>
      <dgm:spPr/>
      <dgm:t>
        <a:bodyPr/>
        <a:lstStyle/>
        <a:p>
          <a:r>
            <a:rPr lang="en-NZ" sz="1000" b="1">
              <a:solidFill>
                <a:sysClr val="windowText" lastClr="000000"/>
              </a:solidFill>
            </a:rPr>
            <a:t>Canons Creek Pool</a:t>
          </a:r>
        </a:p>
      </dgm:t>
    </dgm:pt>
    <dgm:pt modelId="{4C218DC6-5D7A-422F-B2DF-407E4D5D7D60}" type="parTrans" cxnId="{DEA44F13-058D-4378-8A7A-BB49AB69B59D}">
      <dgm:prSet/>
      <dgm:spPr/>
      <dgm:t>
        <a:bodyPr/>
        <a:lstStyle/>
        <a:p>
          <a:endParaRPr lang="en-NZ" sz="1000" b="1">
            <a:solidFill>
              <a:sysClr val="windowText" lastClr="000000"/>
            </a:solidFill>
          </a:endParaRPr>
        </a:p>
      </dgm:t>
    </dgm:pt>
    <dgm:pt modelId="{69EF870A-1879-4AFE-BC85-70D3B15A0A32}" type="sibTrans" cxnId="{DEA44F13-058D-4378-8A7A-BB49AB69B59D}">
      <dgm:prSet/>
      <dgm:spPr/>
      <dgm:t>
        <a:bodyPr/>
        <a:lstStyle/>
        <a:p>
          <a:endParaRPr lang="en-NZ" sz="1000" b="1">
            <a:solidFill>
              <a:sysClr val="windowText" lastClr="000000"/>
            </a:solidFill>
          </a:endParaRPr>
        </a:p>
      </dgm:t>
    </dgm:pt>
    <dgm:pt modelId="{3B948F1B-1E03-4857-ABF6-130ADC750B99}" type="pres">
      <dgm:prSet presAssocID="{4E6EDD69-9C44-4CB4-A518-CEFEE94E84B8}" presName="Name0" presStyleCnt="0">
        <dgm:presLayoutVars>
          <dgm:resizeHandles/>
        </dgm:presLayoutVars>
      </dgm:prSet>
      <dgm:spPr/>
    </dgm:pt>
    <dgm:pt modelId="{025B36E0-56B1-4CBA-822D-F34D0C991F37}" type="pres">
      <dgm:prSet presAssocID="{0952E3F2-8F6C-4C99-A48E-94D2A2ACE560}" presName="text" presStyleLbl="node1" presStyleIdx="0" presStyleCnt="6" custScaleX="168051">
        <dgm:presLayoutVars>
          <dgm:bulletEnabled val="1"/>
        </dgm:presLayoutVars>
      </dgm:prSet>
      <dgm:spPr/>
    </dgm:pt>
    <dgm:pt modelId="{176B178D-0C2E-43F0-8D15-8FD7E4AD5679}" type="pres">
      <dgm:prSet presAssocID="{E64A5508-4A79-46D1-8A0C-2D889B73FA4E}" presName="space" presStyleCnt="0"/>
      <dgm:spPr/>
    </dgm:pt>
    <dgm:pt modelId="{7A4E30F8-CB3F-43C1-97A7-C4BD572426CC}" type="pres">
      <dgm:prSet presAssocID="{109EE87C-E4C6-4306-808B-E561EF5E4A58}" presName="text" presStyleLbl="node1" presStyleIdx="1" presStyleCnt="6" custScaleX="173302">
        <dgm:presLayoutVars>
          <dgm:bulletEnabled val="1"/>
        </dgm:presLayoutVars>
      </dgm:prSet>
      <dgm:spPr/>
    </dgm:pt>
    <dgm:pt modelId="{B2D18087-6B2A-4C59-AF81-9C2FF2E7B427}" type="pres">
      <dgm:prSet presAssocID="{E551B27B-2E7F-4A7B-9BFB-3F7ED3F1429A}" presName="space" presStyleCnt="0"/>
      <dgm:spPr/>
    </dgm:pt>
    <dgm:pt modelId="{46ECDB7B-73FC-4A35-A573-D4D73EB7095F}" type="pres">
      <dgm:prSet presAssocID="{7366F6C0-571C-43EC-9976-517C1C6DBE21}" presName="text" presStyleLbl="node1" presStyleIdx="2" presStyleCnt="6" custScaleX="173302">
        <dgm:presLayoutVars>
          <dgm:bulletEnabled val="1"/>
        </dgm:presLayoutVars>
      </dgm:prSet>
      <dgm:spPr/>
    </dgm:pt>
    <dgm:pt modelId="{77D51D73-B0D0-4E52-93FE-A78C53EF70C1}" type="pres">
      <dgm:prSet presAssocID="{A9A5B43E-2536-4476-8E5C-7AA6F014AD70}" presName="space" presStyleCnt="0"/>
      <dgm:spPr/>
    </dgm:pt>
    <dgm:pt modelId="{A98C97AC-6695-4AD2-B2A8-05E72FD42F48}" type="pres">
      <dgm:prSet presAssocID="{61D362AC-2FB1-4057-8971-479983B2A3E4}" presName="text" presStyleLbl="node1" presStyleIdx="3" presStyleCnt="6" custScaleX="173302">
        <dgm:presLayoutVars>
          <dgm:bulletEnabled val="1"/>
        </dgm:presLayoutVars>
      </dgm:prSet>
      <dgm:spPr/>
    </dgm:pt>
    <dgm:pt modelId="{E4A00B97-9A55-4812-A9D7-923F9BEB56FB}" type="pres">
      <dgm:prSet presAssocID="{8F1E85C4-B165-4659-8FEF-26C8374C863A}" presName="space" presStyleCnt="0"/>
      <dgm:spPr/>
    </dgm:pt>
    <dgm:pt modelId="{D8E2FE8D-C3D2-4EBC-9773-D265C3C2EACA}" type="pres">
      <dgm:prSet presAssocID="{E6CF11BE-E311-4B0D-A4E0-A728DDE29EAB}" presName="text" presStyleLbl="node1" presStyleIdx="4" presStyleCnt="6" custScaleX="173302">
        <dgm:presLayoutVars>
          <dgm:bulletEnabled val="1"/>
        </dgm:presLayoutVars>
      </dgm:prSet>
      <dgm:spPr/>
    </dgm:pt>
    <dgm:pt modelId="{1CDD9AEA-1ABE-4E9A-8949-A3E31AF8EE64}" type="pres">
      <dgm:prSet presAssocID="{BA40FE15-63B8-4B1D-B02F-13542D50A9F2}" presName="space" presStyleCnt="0"/>
      <dgm:spPr/>
    </dgm:pt>
    <dgm:pt modelId="{2132BDE0-1985-48FF-AA05-925E7024CA2D}" type="pres">
      <dgm:prSet presAssocID="{89B6B41E-7CFB-4B23-B985-2B735E382128}" presName="text" presStyleLbl="node1" presStyleIdx="5" presStyleCnt="6" custScaleX="173302">
        <dgm:presLayoutVars>
          <dgm:bulletEnabled val="1"/>
        </dgm:presLayoutVars>
      </dgm:prSet>
      <dgm:spPr/>
    </dgm:pt>
  </dgm:ptLst>
  <dgm:cxnLst>
    <dgm:cxn modelId="{D1DE8400-81FE-4E01-9437-5B25515FC458}" type="presOf" srcId="{61D362AC-2FB1-4057-8971-479983B2A3E4}" destId="{A98C97AC-6695-4AD2-B2A8-05E72FD42F48}" srcOrd="0" destOrd="0" presId="urn:diagrams.loki3.com/VaryingWidthList"/>
    <dgm:cxn modelId="{DEA44F13-058D-4378-8A7A-BB49AB69B59D}" srcId="{4E6EDD69-9C44-4CB4-A518-CEFEE94E84B8}" destId="{89B6B41E-7CFB-4B23-B985-2B735E382128}" srcOrd="5" destOrd="0" parTransId="{4C218DC6-5D7A-422F-B2DF-407E4D5D7D60}" sibTransId="{69EF870A-1879-4AFE-BC85-70D3B15A0A32}"/>
    <dgm:cxn modelId="{BCCA8848-BAA4-4297-9181-2FA7492C77D4}" srcId="{4E6EDD69-9C44-4CB4-A518-CEFEE94E84B8}" destId="{61D362AC-2FB1-4057-8971-479983B2A3E4}" srcOrd="3" destOrd="0" parTransId="{BA294B7E-4DE4-412B-AE91-64D8ECDBE1A7}" sibTransId="{8F1E85C4-B165-4659-8FEF-26C8374C863A}"/>
    <dgm:cxn modelId="{BCB0EC56-53FD-495E-BBE8-D589CDB98362}" type="presOf" srcId="{7366F6C0-571C-43EC-9976-517C1C6DBE21}" destId="{46ECDB7B-73FC-4A35-A573-D4D73EB7095F}" srcOrd="0" destOrd="0" presId="urn:diagrams.loki3.com/VaryingWidthList"/>
    <dgm:cxn modelId="{6613A389-11DC-4056-9577-21A3F121DF87}" type="presOf" srcId="{0952E3F2-8F6C-4C99-A48E-94D2A2ACE560}" destId="{025B36E0-56B1-4CBA-822D-F34D0C991F37}" srcOrd="0" destOrd="0" presId="urn:diagrams.loki3.com/VaryingWidthList"/>
    <dgm:cxn modelId="{1174C791-9235-43AA-BB19-36BAEC1A2312}" srcId="{4E6EDD69-9C44-4CB4-A518-CEFEE94E84B8}" destId="{7366F6C0-571C-43EC-9976-517C1C6DBE21}" srcOrd="2" destOrd="0" parTransId="{A39C95D8-AD81-4B5A-A9B5-4B17D458F476}" sibTransId="{A9A5B43E-2536-4476-8E5C-7AA6F014AD70}"/>
    <dgm:cxn modelId="{0848459E-FFDF-4BD3-AB5C-3C4343F1B64A}" srcId="{4E6EDD69-9C44-4CB4-A518-CEFEE94E84B8}" destId="{109EE87C-E4C6-4306-808B-E561EF5E4A58}" srcOrd="1" destOrd="0" parTransId="{8AA6B1DD-CC19-4DEA-8C72-7AC9431AA1A5}" sibTransId="{E551B27B-2E7F-4A7B-9BFB-3F7ED3F1429A}"/>
    <dgm:cxn modelId="{1C3294B7-C8AA-460A-AC06-86EF681926C1}" srcId="{4E6EDD69-9C44-4CB4-A518-CEFEE94E84B8}" destId="{E6CF11BE-E311-4B0D-A4E0-A728DDE29EAB}" srcOrd="4" destOrd="0" parTransId="{5642B876-A70B-4E49-8B64-8A6F55D78A7A}" sibTransId="{BA40FE15-63B8-4B1D-B02F-13542D50A9F2}"/>
    <dgm:cxn modelId="{846F15C2-CB24-4FFF-B810-6088ACFE0474}" srcId="{4E6EDD69-9C44-4CB4-A518-CEFEE94E84B8}" destId="{0952E3F2-8F6C-4C99-A48E-94D2A2ACE560}" srcOrd="0" destOrd="0" parTransId="{5C067421-127D-4567-AAB9-F78E7BB39D73}" sibTransId="{E64A5508-4A79-46D1-8A0C-2D889B73FA4E}"/>
    <dgm:cxn modelId="{DB9D90C5-7F37-4530-AF36-FC07035FA356}" type="presOf" srcId="{E6CF11BE-E311-4B0D-A4E0-A728DDE29EAB}" destId="{D8E2FE8D-C3D2-4EBC-9773-D265C3C2EACA}" srcOrd="0" destOrd="0" presId="urn:diagrams.loki3.com/VaryingWidthList"/>
    <dgm:cxn modelId="{6AFECFE3-4108-450A-BD29-2087BA4689A6}" type="presOf" srcId="{4E6EDD69-9C44-4CB4-A518-CEFEE94E84B8}" destId="{3B948F1B-1E03-4857-ABF6-130ADC750B99}" srcOrd="0" destOrd="0" presId="urn:diagrams.loki3.com/VaryingWidthList"/>
    <dgm:cxn modelId="{3851F2E8-A717-47AD-A9C7-1B1775558AF6}" type="presOf" srcId="{109EE87C-E4C6-4306-808B-E561EF5E4A58}" destId="{7A4E30F8-CB3F-43C1-97A7-C4BD572426CC}" srcOrd="0" destOrd="0" presId="urn:diagrams.loki3.com/VaryingWidthList"/>
    <dgm:cxn modelId="{64B006EA-94CB-43FB-B8A0-2EB73733CE80}" type="presOf" srcId="{89B6B41E-7CFB-4B23-B985-2B735E382128}" destId="{2132BDE0-1985-48FF-AA05-925E7024CA2D}" srcOrd="0" destOrd="0" presId="urn:diagrams.loki3.com/VaryingWidthList"/>
    <dgm:cxn modelId="{EE2369A3-AB40-4F45-A49A-E8651C90A079}" type="presParOf" srcId="{3B948F1B-1E03-4857-ABF6-130ADC750B99}" destId="{025B36E0-56B1-4CBA-822D-F34D0C991F37}" srcOrd="0" destOrd="0" presId="urn:diagrams.loki3.com/VaryingWidthList"/>
    <dgm:cxn modelId="{0A1E05CA-AEC3-4DEA-B0C3-B04082B19E13}" type="presParOf" srcId="{3B948F1B-1E03-4857-ABF6-130ADC750B99}" destId="{176B178D-0C2E-43F0-8D15-8FD7E4AD5679}" srcOrd="1" destOrd="0" presId="urn:diagrams.loki3.com/VaryingWidthList"/>
    <dgm:cxn modelId="{343E2CBC-A238-426E-9FE1-E3B463791443}" type="presParOf" srcId="{3B948F1B-1E03-4857-ABF6-130ADC750B99}" destId="{7A4E30F8-CB3F-43C1-97A7-C4BD572426CC}" srcOrd="2" destOrd="0" presId="urn:diagrams.loki3.com/VaryingWidthList"/>
    <dgm:cxn modelId="{D9F63EB7-8234-4383-901B-36CF5B4CAC7A}" type="presParOf" srcId="{3B948F1B-1E03-4857-ABF6-130ADC750B99}" destId="{B2D18087-6B2A-4C59-AF81-9C2FF2E7B427}" srcOrd="3" destOrd="0" presId="urn:diagrams.loki3.com/VaryingWidthList"/>
    <dgm:cxn modelId="{89C6EAA5-A800-4AE2-9478-F0403F211594}" type="presParOf" srcId="{3B948F1B-1E03-4857-ABF6-130ADC750B99}" destId="{46ECDB7B-73FC-4A35-A573-D4D73EB7095F}" srcOrd="4" destOrd="0" presId="urn:diagrams.loki3.com/VaryingWidthList"/>
    <dgm:cxn modelId="{40F7EC01-5578-4D3C-8AB3-2D02D6EC5830}" type="presParOf" srcId="{3B948F1B-1E03-4857-ABF6-130ADC750B99}" destId="{77D51D73-B0D0-4E52-93FE-A78C53EF70C1}" srcOrd="5" destOrd="0" presId="urn:diagrams.loki3.com/VaryingWidthList"/>
    <dgm:cxn modelId="{63AF9EB5-FFDC-4B88-BD5C-15702AD8D9FB}" type="presParOf" srcId="{3B948F1B-1E03-4857-ABF6-130ADC750B99}" destId="{A98C97AC-6695-4AD2-B2A8-05E72FD42F48}" srcOrd="6" destOrd="0" presId="urn:diagrams.loki3.com/VaryingWidthList"/>
    <dgm:cxn modelId="{25EC57E4-76D9-4C13-A3BF-90E8DDC7DDF9}" type="presParOf" srcId="{3B948F1B-1E03-4857-ABF6-130ADC750B99}" destId="{E4A00B97-9A55-4812-A9D7-923F9BEB56FB}" srcOrd="7" destOrd="0" presId="urn:diagrams.loki3.com/VaryingWidthList"/>
    <dgm:cxn modelId="{34750503-E7B1-43E8-A9DF-FBB10BE3B49E}" type="presParOf" srcId="{3B948F1B-1E03-4857-ABF6-130ADC750B99}" destId="{D8E2FE8D-C3D2-4EBC-9773-D265C3C2EACA}" srcOrd="8" destOrd="0" presId="urn:diagrams.loki3.com/VaryingWidthList"/>
    <dgm:cxn modelId="{AB6447C8-0F5B-4337-AAD1-6663C3BB0811}" type="presParOf" srcId="{3B948F1B-1E03-4857-ABF6-130ADC750B99}" destId="{1CDD9AEA-1ABE-4E9A-8949-A3E31AF8EE64}" srcOrd="9" destOrd="0" presId="urn:diagrams.loki3.com/VaryingWidthList"/>
    <dgm:cxn modelId="{56FA0DFA-5846-4AEC-AD68-B12BB7D80664}" type="presParOf" srcId="{3B948F1B-1E03-4857-ABF6-130ADC750B99}" destId="{2132BDE0-1985-48FF-AA05-925E7024CA2D}" srcOrd="10" destOrd="0" presId="urn:diagrams.loki3.com/VaryingWidth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0DBF4C-1AB6-4C71-9161-437E3E4B29E3}">
      <dsp:nvSpPr>
        <dsp:cNvPr id="0" name=""/>
        <dsp:cNvSpPr/>
      </dsp:nvSpPr>
      <dsp:spPr>
        <a:xfrm>
          <a:off x="-4716468" y="-722975"/>
          <a:ext cx="5617900" cy="5617900"/>
        </a:xfrm>
        <a:prstGeom prst="blockArc">
          <a:avLst>
            <a:gd name="adj1" fmla="val 18900000"/>
            <a:gd name="adj2" fmla="val 2700000"/>
            <a:gd name="adj3" fmla="val 38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14456-BB6A-489E-A20B-86643575A1C3}">
      <dsp:nvSpPr>
        <dsp:cNvPr id="0" name=""/>
        <dsp:cNvSpPr/>
      </dsp:nvSpPr>
      <dsp:spPr>
        <a:xfrm>
          <a:off x="336523" y="219694"/>
          <a:ext cx="6216935"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Identifying the need for a facility and developing the strategic case for doing so. Assessing the specifc need and demand in the wider context of the facility network</a:t>
          </a:r>
        </a:p>
      </dsp:txBody>
      <dsp:txXfrm>
        <a:off x="336523" y="219694"/>
        <a:ext cx="6216935" cy="439222"/>
      </dsp:txXfrm>
    </dsp:sp>
    <dsp:sp modelId="{A7D09F17-80DC-4602-BF4F-CB503ADA6CC9}">
      <dsp:nvSpPr>
        <dsp:cNvPr id="0" name=""/>
        <dsp:cNvSpPr/>
      </dsp:nvSpPr>
      <dsp:spPr>
        <a:xfrm>
          <a:off x="62009" y="164792"/>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31D96F-07A1-494C-BD17-251784B0488E}">
      <dsp:nvSpPr>
        <dsp:cNvPr id="0" name=""/>
        <dsp:cNvSpPr/>
      </dsp:nvSpPr>
      <dsp:spPr>
        <a:xfrm>
          <a:off x="697814" y="878445"/>
          <a:ext cx="5855644"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Ensuring the facility will be fit -for-purpose, sustainable and future-proof while also determininig its financial feasibility based on an appropriate facility mix</a:t>
          </a:r>
        </a:p>
      </dsp:txBody>
      <dsp:txXfrm>
        <a:off x="697814" y="878445"/>
        <a:ext cx="5855644" cy="439222"/>
      </dsp:txXfrm>
    </dsp:sp>
    <dsp:sp modelId="{BD65D540-E1C7-4E2E-99E7-61206984E9A9}">
      <dsp:nvSpPr>
        <dsp:cNvPr id="0" name=""/>
        <dsp:cNvSpPr/>
      </dsp:nvSpPr>
      <dsp:spPr>
        <a:xfrm>
          <a:off x="423299" y="823542"/>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B8C647-BB18-4A0A-A81B-18C9ADD79100}">
      <dsp:nvSpPr>
        <dsp:cNvPr id="0" name=""/>
        <dsp:cNvSpPr/>
      </dsp:nvSpPr>
      <dsp:spPr>
        <a:xfrm>
          <a:off x="863023" y="1537196"/>
          <a:ext cx="5690435"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Developing the detailed functional and spatial requirements of the facility based on the agreed facility mix. Designs are confirmed and estimates finalised. </a:t>
          </a:r>
        </a:p>
      </dsp:txBody>
      <dsp:txXfrm>
        <a:off x="863023" y="1537196"/>
        <a:ext cx="5690435" cy="439222"/>
      </dsp:txXfrm>
    </dsp:sp>
    <dsp:sp modelId="{05BC8764-E4CF-424A-B97E-F610CA990B8D}">
      <dsp:nvSpPr>
        <dsp:cNvPr id="0" name=""/>
        <dsp:cNvSpPr/>
      </dsp:nvSpPr>
      <dsp:spPr>
        <a:xfrm>
          <a:off x="588509" y="1482293"/>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9A164D-B36C-4E62-8AF1-9341DB28DDE6}">
      <dsp:nvSpPr>
        <dsp:cNvPr id="0" name=""/>
        <dsp:cNvSpPr/>
      </dsp:nvSpPr>
      <dsp:spPr>
        <a:xfrm>
          <a:off x="863023" y="2195530"/>
          <a:ext cx="5690435"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Constructing the facility</a:t>
          </a:r>
        </a:p>
      </dsp:txBody>
      <dsp:txXfrm>
        <a:off x="863023" y="2195530"/>
        <a:ext cx="5690435" cy="439222"/>
      </dsp:txXfrm>
    </dsp:sp>
    <dsp:sp modelId="{BB5D438D-79E7-4C18-B431-38E5DC68CF32}">
      <dsp:nvSpPr>
        <dsp:cNvPr id="0" name=""/>
        <dsp:cNvSpPr/>
      </dsp:nvSpPr>
      <dsp:spPr>
        <a:xfrm>
          <a:off x="588509" y="2140627"/>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2AA079-8EFF-478C-95EE-A1C77EA00C36}">
      <dsp:nvSpPr>
        <dsp:cNvPr id="0" name=""/>
        <dsp:cNvSpPr/>
      </dsp:nvSpPr>
      <dsp:spPr>
        <a:xfrm>
          <a:off x="697814" y="2854281"/>
          <a:ext cx="5855644"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Managing and maintaining the facility and ensuring it delivers a quality experience as welllas ensuring it has an effective and efficient operating model and programme of activity that meets community needs</a:t>
          </a:r>
        </a:p>
      </dsp:txBody>
      <dsp:txXfrm>
        <a:off x="697814" y="2854281"/>
        <a:ext cx="5855644" cy="439222"/>
      </dsp:txXfrm>
    </dsp:sp>
    <dsp:sp modelId="{9843D6A0-06E1-4633-BE6B-1F2CD5CE3726}">
      <dsp:nvSpPr>
        <dsp:cNvPr id="0" name=""/>
        <dsp:cNvSpPr/>
      </dsp:nvSpPr>
      <dsp:spPr>
        <a:xfrm>
          <a:off x="423299" y="2799378"/>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2F18C9-1FA4-4742-BCBD-2F6568723A97}">
      <dsp:nvSpPr>
        <dsp:cNvPr id="0" name=""/>
        <dsp:cNvSpPr/>
      </dsp:nvSpPr>
      <dsp:spPr>
        <a:xfrm>
          <a:off x="336523" y="3513032"/>
          <a:ext cx="6216935" cy="439222"/>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8633" tIns="25400" rIns="25400" bIns="25400" numCol="1" spcCol="1270" anchor="ctr" anchorCtr="0">
          <a:noAutofit/>
        </a:bodyPr>
        <a:lstStyle/>
        <a:p>
          <a:pPr marL="0" lvl="0" indent="0" algn="l" defTabSz="444500">
            <a:lnSpc>
              <a:spcPct val="90000"/>
            </a:lnSpc>
            <a:spcBef>
              <a:spcPct val="0"/>
            </a:spcBef>
            <a:spcAft>
              <a:spcPct val="35000"/>
            </a:spcAft>
            <a:buNone/>
          </a:pPr>
          <a:r>
            <a:rPr lang="en-NZ" sz="1000" kern="1200"/>
            <a:t>Evaluating the success of the facility, how it has delivered on the identified outcomes and objectives, what improvements can be made and whether there is any experience or learnings that can be share</a:t>
          </a:r>
        </a:p>
      </dsp:txBody>
      <dsp:txXfrm>
        <a:off x="336523" y="3513032"/>
        <a:ext cx="6216935" cy="439222"/>
      </dsp:txXfrm>
    </dsp:sp>
    <dsp:sp modelId="{ED30F5C0-B01E-489B-8389-7196FA68EF93}">
      <dsp:nvSpPr>
        <dsp:cNvPr id="0" name=""/>
        <dsp:cNvSpPr/>
      </dsp:nvSpPr>
      <dsp:spPr>
        <a:xfrm>
          <a:off x="62009" y="3458129"/>
          <a:ext cx="549028" cy="549028"/>
        </a:xfrm>
        <a:prstGeom prst="ellipse">
          <a:avLst/>
        </a:prstGeom>
        <a:solidFill>
          <a:schemeClr val="accent4">
            <a:lumMod val="40000"/>
            <a:lumOff val="6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B36E0-56B1-4CBA-822D-F34D0C991F37}">
      <dsp:nvSpPr>
        <dsp:cNvPr id="0" name=""/>
        <dsp:cNvSpPr/>
      </dsp:nvSpPr>
      <dsp:spPr>
        <a:xfrm>
          <a:off x="0" y="1347"/>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with the ability to host international competitions / events (i.e. between nations) </a:t>
          </a:r>
        </a:p>
      </dsp:txBody>
      <dsp:txXfrm>
        <a:off x="0" y="1347"/>
        <a:ext cx="3190875" cy="784428"/>
      </dsp:txXfrm>
    </dsp:sp>
    <dsp:sp modelId="{7A4E30F8-CB3F-43C1-97A7-C4BD572426CC}">
      <dsp:nvSpPr>
        <dsp:cNvPr id="0" name=""/>
        <dsp:cNvSpPr/>
      </dsp:nvSpPr>
      <dsp:spPr>
        <a:xfrm>
          <a:off x="0" y="824997"/>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with the ability to host regional representative competitions (including professional and semi-professional franchise competitions involving teams from outside New Zealand) and / or to serve as a national high-performance training hub for one or more sports codes. </a:t>
          </a:r>
        </a:p>
      </dsp:txBody>
      <dsp:txXfrm>
        <a:off x="0" y="824997"/>
        <a:ext cx="3190875" cy="784428"/>
      </dsp:txXfrm>
    </dsp:sp>
    <dsp:sp modelId="{46ECDB7B-73FC-4A35-A573-D4D73EB7095F}">
      <dsp:nvSpPr>
        <dsp:cNvPr id="0" name=""/>
        <dsp:cNvSpPr/>
      </dsp:nvSpPr>
      <dsp:spPr>
        <a:xfrm>
          <a:off x="0" y="1648647"/>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with the ability to host inter-regional and internal regional competitions and /or serves as a regional high-performance training hub for one or more sports codes. </a:t>
          </a:r>
        </a:p>
      </dsp:txBody>
      <dsp:txXfrm>
        <a:off x="0" y="1648647"/>
        <a:ext cx="3190875" cy="784428"/>
      </dsp:txXfrm>
    </dsp:sp>
    <dsp:sp modelId="{A98C97AC-6695-4AD2-B2A8-05E72FD42F48}">
      <dsp:nvSpPr>
        <dsp:cNvPr id="0" name=""/>
        <dsp:cNvSpPr/>
      </dsp:nvSpPr>
      <dsp:spPr>
        <a:xfrm>
          <a:off x="0" y="2472298"/>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with the ability to draw significant numbers of participants/teams/competitors from across adjacent territorial authority boundaries for either competition or training purposes. </a:t>
          </a:r>
        </a:p>
      </dsp:txBody>
      <dsp:txXfrm>
        <a:off x="0" y="2472298"/>
        <a:ext cx="3190875" cy="784428"/>
      </dsp:txXfrm>
    </dsp:sp>
    <dsp:sp modelId="{D8E2FE8D-C3D2-4EBC-9773-D265C3C2EACA}">
      <dsp:nvSpPr>
        <dsp:cNvPr id="0" name=""/>
        <dsp:cNvSpPr/>
      </dsp:nvSpPr>
      <dsp:spPr>
        <a:xfrm>
          <a:off x="0" y="3295948"/>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with the size and ability to cater for and serve an entire district or city. This type of venue would often be the central hub for a specific activity type. </a:t>
          </a:r>
        </a:p>
      </dsp:txBody>
      <dsp:txXfrm>
        <a:off x="0" y="3295948"/>
        <a:ext cx="3190875" cy="784428"/>
      </dsp:txXfrm>
    </dsp:sp>
    <dsp:sp modelId="{2132BDE0-1985-48FF-AA05-925E7024CA2D}">
      <dsp:nvSpPr>
        <dsp:cNvPr id="0" name=""/>
        <dsp:cNvSpPr/>
      </dsp:nvSpPr>
      <dsp:spPr>
        <a:xfrm>
          <a:off x="0" y="4119598"/>
          <a:ext cx="3190875" cy="7844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0" kern="1200"/>
            <a:t>A facility which often facilitates people’s introduction to sports and recreation and primarily serves a town or suburb (or potentially two suburbs) only. </a:t>
          </a:r>
        </a:p>
      </dsp:txBody>
      <dsp:txXfrm>
        <a:off x="0" y="4119598"/>
        <a:ext cx="3190875" cy="7844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B36E0-56B1-4CBA-822D-F34D0C991F37}">
      <dsp:nvSpPr>
        <dsp:cNvPr id="0" name=""/>
        <dsp:cNvSpPr/>
      </dsp:nvSpPr>
      <dsp:spPr>
        <a:xfrm>
          <a:off x="104776" y="0"/>
          <a:ext cx="1019170" cy="784428"/>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International</a:t>
          </a:r>
        </a:p>
      </dsp:txBody>
      <dsp:txXfrm>
        <a:off x="104776" y="0"/>
        <a:ext cx="1019170" cy="784428"/>
      </dsp:txXfrm>
    </dsp:sp>
    <dsp:sp modelId="{7A4E30F8-CB3F-43C1-97A7-C4BD572426CC}">
      <dsp:nvSpPr>
        <dsp:cNvPr id="0" name=""/>
        <dsp:cNvSpPr/>
      </dsp:nvSpPr>
      <dsp:spPr>
        <a:xfrm>
          <a:off x="123825" y="824997"/>
          <a:ext cx="1000123" cy="784428"/>
        </a:xfrm>
        <a:prstGeom prst="rect">
          <a:avLst/>
        </a:prstGeom>
        <a:solidFill>
          <a:schemeClr val="accent2">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National</a:t>
          </a:r>
        </a:p>
      </dsp:txBody>
      <dsp:txXfrm>
        <a:off x="123825" y="824997"/>
        <a:ext cx="1000123" cy="784428"/>
      </dsp:txXfrm>
    </dsp:sp>
    <dsp:sp modelId="{46ECDB7B-73FC-4A35-A573-D4D73EB7095F}">
      <dsp:nvSpPr>
        <dsp:cNvPr id="0" name=""/>
        <dsp:cNvSpPr/>
      </dsp:nvSpPr>
      <dsp:spPr>
        <a:xfrm>
          <a:off x="123825" y="1648647"/>
          <a:ext cx="1000123" cy="784428"/>
        </a:xfrm>
        <a:prstGeom prst="rect">
          <a:avLst/>
        </a:prstGeom>
        <a:solidFill>
          <a:schemeClr val="accent2">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Regional</a:t>
          </a:r>
        </a:p>
      </dsp:txBody>
      <dsp:txXfrm>
        <a:off x="123825" y="1648647"/>
        <a:ext cx="1000123" cy="784428"/>
      </dsp:txXfrm>
    </dsp:sp>
    <dsp:sp modelId="{A98C97AC-6695-4AD2-B2A8-05E72FD42F48}">
      <dsp:nvSpPr>
        <dsp:cNvPr id="0" name=""/>
        <dsp:cNvSpPr/>
      </dsp:nvSpPr>
      <dsp:spPr>
        <a:xfrm>
          <a:off x="123825" y="2472298"/>
          <a:ext cx="1000123" cy="784428"/>
        </a:xfrm>
        <a:prstGeom prst="rect">
          <a:avLst/>
        </a:prstGeom>
        <a:solidFill>
          <a:schemeClr val="accent2">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Sub-regional</a:t>
          </a:r>
        </a:p>
      </dsp:txBody>
      <dsp:txXfrm>
        <a:off x="123825" y="2472298"/>
        <a:ext cx="1000123" cy="784428"/>
      </dsp:txXfrm>
    </dsp:sp>
    <dsp:sp modelId="{D8E2FE8D-C3D2-4EBC-9773-D265C3C2EACA}">
      <dsp:nvSpPr>
        <dsp:cNvPr id="0" name=""/>
        <dsp:cNvSpPr/>
      </dsp:nvSpPr>
      <dsp:spPr>
        <a:xfrm>
          <a:off x="123825" y="3295948"/>
          <a:ext cx="1000123" cy="784428"/>
        </a:xfrm>
        <a:prstGeom prst="rect">
          <a:avLst/>
        </a:prstGeom>
        <a:solidFill>
          <a:schemeClr val="accent2">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City/District</a:t>
          </a:r>
        </a:p>
      </dsp:txBody>
      <dsp:txXfrm>
        <a:off x="123825" y="3295948"/>
        <a:ext cx="1000123" cy="784428"/>
      </dsp:txXfrm>
    </dsp:sp>
    <dsp:sp modelId="{2132BDE0-1985-48FF-AA05-925E7024CA2D}">
      <dsp:nvSpPr>
        <dsp:cNvPr id="0" name=""/>
        <dsp:cNvSpPr/>
      </dsp:nvSpPr>
      <dsp:spPr>
        <a:xfrm>
          <a:off x="123825" y="4119598"/>
          <a:ext cx="1000123" cy="784428"/>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Local</a:t>
          </a:r>
        </a:p>
      </dsp:txBody>
      <dsp:txXfrm>
        <a:off x="123825" y="4119598"/>
        <a:ext cx="1000123" cy="7844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B36E0-56B1-4CBA-822D-F34D0C991F37}">
      <dsp:nvSpPr>
        <dsp:cNvPr id="0" name=""/>
        <dsp:cNvSpPr/>
      </dsp:nvSpPr>
      <dsp:spPr>
        <a:xfrm>
          <a:off x="18903" y="1347"/>
          <a:ext cx="1209967" cy="784428"/>
        </a:xfrm>
        <a:prstGeom prst="rect">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Westpac Stadium</a:t>
          </a:r>
        </a:p>
      </dsp:txBody>
      <dsp:txXfrm>
        <a:off x="18903" y="1347"/>
        <a:ext cx="1209967" cy="784428"/>
      </dsp:txXfrm>
    </dsp:sp>
    <dsp:sp modelId="{7A4E30F8-CB3F-43C1-97A7-C4BD572426CC}">
      <dsp:nvSpPr>
        <dsp:cNvPr id="0" name=""/>
        <dsp:cNvSpPr/>
      </dsp:nvSpPr>
      <dsp:spPr>
        <a:xfrm>
          <a:off x="0" y="824997"/>
          <a:ext cx="1247774" cy="784428"/>
        </a:xfrm>
        <a:prstGeom prst="rect">
          <a:avLst/>
        </a:prstGeom>
        <a:solidFill>
          <a:schemeClr val="accent2">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Trust House turfs - Carterton</a:t>
          </a:r>
        </a:p>
      </dsp:txBody>
      <dsp:txXfrm>
        <a:off x="0" y="824997"/>
        <a:ext cx="1247774" cy="784428"/>
      </dsp:txXfrm>
    </dsp:sp>
    <dsp:sp modelId="{46ECDB7B-73FC-4A35-A573-D4D73EB7095F}">
      <dsp:nvSpPr>
        <dsp:cNvPr id="0" name=""/>
        <dsp:cNvSpPr/>
      </dsp:nvSpPr>
      <dsp:spPr>
        <a:xfrm>
          <a:off x="0" y="1648647"/>
          <a:ext cx="1247774" cy="784428"/>
        </a:xfrm>
        <a:prstGeom prst="rect">
          <a:avLst/>
        </a:prstGeom>
        <a:solidFill>
          <a:schemeClr val="accent2">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Trentham Rifle Range</a:t>
          </a:r>
        </a:p>
      </dsp:txBody>
      <dsp:txXfrm>
        <a:off x="0" y="1648647"/>
        <a:ext cx="1247774" cy="784428"/>
      </dsp:txXfrm>
    </dsp:sp>
    <dsp:sp modelId="{A98C97AC-6695-4AD2-B2A8-05E72FD42F48}">
      <dsp:nvSpPr>
        <dsp:cNvPr id="0" name=""/>
        <dsp:cNvSpPr/>
      </dsp:nvSpPr>
      <dsp:spPr>
        <a:xfrm>
          <a:off x="0" y="2472298"/>
          <a:ext cx="1247774" cy="784428"/>
        </a:xfrm>
        <a:prstGeom prst="rect">
          <a:avLst/>
        </a:prstGeom>
        <a:solidFill>
          <a:schemeClr val="accent2">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Wairarapa Netball Centre</a:t>
          </a:r>
        </a:p>
      </dsp:txBody>
      <dsp:txXfrm>
        <a:off x="0" y="2472298"/>
        <a:ext cx="1247774" cy="784428"/>
      </dsp:txXfrm>
    </dsp:sp>
    <dsp:sp modelId="{D8E2FE8D-C3D2-4EBC-9773-D265C3C2EACA}">
      <dsp:nvSpPr>
        <dsp:cNvPr id="0" name=""/>
        <dsp:cNvSpPr/>
      </dsp:nvSpPr>
      <dsp:spPr>
        <a:xfrm>
          <a:off x="0" y="3295948"/>
          <a:ext cx="1247774" cy="784428"/>
        </a:xfrm>
        <a:prstGeom prst="rect">
          <a:avLst/>
        </a:prstGeom>
        <a:solidFill>
          <a:schemeClr val="accent2">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Naenae Park cricket pitches</a:t>
          </a:r>
        </a:p>
      </dsp:txBody>
      <dsp:txXfrm>
        <a:off x="0" y="3295948"/>
        <a:ext cx="1247774" cy="784428"/>
      </dsp:txXfrm>
    </dsp:sp>
    <dsp:sp modelId="{2132BDE0-1985-48FF-AA05-925E7024CA2D}">
      <dsp:nvSpPr>
        <dsp:cNvPr id="0" name=""/>
        <dsp:cNvSpPr/>
      </dsp:nvSpPr>
      <dsp:spPr>
        <a:xfrm>
          <a:off x="0" y="4119598"/>
          <a:ext cx="1247774" cy="784428"/>
        </a:xfrm>
        <a:prstGeom prst="rect">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NZ" sz="1000" b="1" kern="1200">
              <a:solidFill>
                <a:sysClr val="windowText" lastClr="000000"/>
              </a:solidFill>
            </a:rPr>
            <a:t>Canons Creek Pool</a:t>
          </a:r>
        </a:p>
      </dsp:txBody>
      <dsp:txXfrm>
        <a:off x="0" y="4119598"/>
        <a:ext cx="1247774" cy="784428"/>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A_Date_Disposal xmlns="cca96ec4-e7ea-4e87-8461-3188e109bf12" xsi:nil="true"/>
    <RecordID xmlns="cca96ec4-e7ea-4e87-8461-3188e109bf12">1153224</RecordID>
    <PRA_Text_1 xmlns="cca96ec4-e7ea-4e87-8461-3188e109bf12" xsi:nil="true"/>
    <PRA_Text_4 xmlns="cca96ec4-e7ea-4e87-8461-3188e109bf12" xsi:nil="true"/>
    <PRA_Date_3 xmlns="cca96ec4-e7ea-4e87-8461-3188e109bf12" xsi:nil="true"/>
    <Function xmlns="e21cbe00-2104-4159-b9b9-bd54555d1bf2">Facilities Management</Function>
    <Read_Only_Status xmlns="cca96ec4-e7ea-4e87-8461-3188e109bf12">Open</Read_Only_Status>
    <_Status xmlns="http://schemas.microsoft.com/sharepoint/v3/fields">Active</_Status>
    <DocumentType xmlns="e21cbe00-2104-4159-b9b9-bd54555d1bf2">Report</DocumentType>
    <Authoritative_Version xmlns="cca96ec4-e7ea-4e87-8461-3188e109bf12">false</Authoritative_Version>
    <Aggregation_Status xmlns="cca96ec4-e7ea-4e87-8461-3188e109bf12">Normal</Aggregation_Status>
    <PRA_Text_2 xmlns="cca96ec4-e7ea-4e87-8461-3188e109bf12" xsi:nil="true"/>
    <PRA_Text_5 xmlns="cca96ec4-e7ea-4e87-8461-3188e109bf12" xsi:nil="true"/>
    <PRA_Date_2 xmlns="cca96ec4-e7ea-4e87-8461-3188e109bf12" xsi:nil="true"/>
    <Activity xmlns="e21cbe00-2104-4159-b9b9-bd54555d1bf2">Projects</Activity>
    <Target_Audience xmlns="cca96ec4-e7ea-4e87-8461-3188e109bf12">Internal</Target_Audience>
    <CategoryName xmlns="e21cbe00-2104-4159-b9b9-bd54555d1bf2">Plans and Strategies</CategoryName>
    <PRA_Type xmlns="cca96ec4-e7ea-4e87-8461-3188e109bf12">Doc</PRA_Type>
    <Case xmlns="e21cbe00-2104-4159-b9b9-bd54555d1bf2">Sport Wellington Spaces and Places Plan</Case>
    <PRA_Text_3 xmlns="cca96ec4-e7ea-4e87-8461-3188e109bf12" xsi:nil="true"/>
    <PRA_Date_Trigger xmlns="cca96ec4-e7ea-4e87-8461-3188e109bf12" xsi:nil="true"/>
    <Original_Document xmlns="cca96ec4-e7ea-4e87-8461-3188e109bf12" xsi:nil="true"/>
    <Record_Type xmlns="cca96ec4-e7ea-4e87-8461-3188e109bf12">Normal</Record_Type>
    <Related_People xmlns="cca96ec4-e7ea-4e87-8461-3188e109bf12">
      <UserInfo>
        <DisplayName/>
        <AccountId xsi:nil="true"/>
        <AccountType/>
      </UserInfo>
    </Related_People>
    <Know-How_Type xmlns="cca96ec4-e7ea-4e87-8461-3188e109bf12">NA</Know-How_Type>
    <PRA_Date_1 xmlns="cca96ec4-e7ea-4e87-8461-3188e109bf12" xsi:nil="true"/>
    <Narrative xmlns="cca96ec4-e7ea-4e87-8461-3188e109bf12" xsi:nil="true"/>
    <Year xmlns="d4fe8d60-8323-444c-b3d4-a9e77b8f3bea">2016</Year>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AAAAAAAAAAAAAAAAAAAAAAAAAAAAAA0200686632093CFD1A449D3193FAAC94FCC2" ma:contentTypeVersion="27" ma:contentTypeDescription="Standard Electronic Document" ma:contentTypeScope="" ma:versionID="bccd7aab37e08468d643db6abfe6988f">
  <xsd:schema xmlns:xsd="http://www.w3.org/2001/XMLSchema" xmlns:xs="http://www.w3.org/2001/XMLSchema" xmlns:p="http://schemas.microsoft.com/office/2006/metadata/properties" xmlns:ns2="e21cbe00-2104-4159-b9b9-bd54555d1bf2" xmlns:ns3="cca96ec4-e7ea-4e87-8461-3188e109bf12" xmlns:ns4="http://schemas.microsoft.com/sharepoint/v3/fields" xmlns:ns5="d4fe8d60-8323-444c-b3d4-a9e77b8f3bea" targetNamespace="http://schemas.microsoft.com/office/2006/metadata/properties" ma:root="true" ma:fieldsID="9009b5af11c51a856ebd4ce3414a4455" ns2:_="" ns3:_="" ns4:_="" ns5:_="">
    <xsd:import namespace="e21cbe00-2104-4159-b9b9-bd54555d1bf2"/>
    <xsd:import namespace="cca96ec4-e7ea-4e87-8461-3188e109bf12"/>
    <xsd:import namespace="http://schemas.microsoft.com/sharepoint/v3/fields"/>
    <xsd:import namespace="d4fe8d60-8323-444c-b3d4-a9e77b8f3bea"/>
    <xsd:element name="properties">
      <xsd:complexType>
        <xsd:sequence>
          <xsd:element name="documentManagement">
            <xsd:complexType>
              <xsd:all>
                <xsd:element ref="ns2:DocumentType"/>
                <xsd:element ref="ns3:PRA_Type" minOccurs="0"/>
                <xsd:element ref="ns3:Aggregation_Status" minOccurs="0"/>
                <xsd:element ref="ns3:Narrative" minOccurs="0"/>
                <xsd:element ref="ns3:RecordID" minOccurs="0"/>
                <xsd:element ref="ns3:Record_Type"/>
                <xsd:element ref="ns3:Read_Only_Status" minOccurs="0"/>
                <xsd:element ref="ns3:Authoritative_Version" minOccurs="0"/>
                <xsd:element ref="ns3:PRA_Text_1" minOccurs="0"/>
                <xsd:element ref="ns3:PRA_Text_2" minOccurs="0"/>
                <xsd:element ref="ns3:PRA_Text_3" minOccurs="0"/>
                <xsd:element ref="ns3:PRA_Text_4" minOccurs="0"/>
                <xsd:element ref="ns3:PRA_Text_5" minOccurs="0"/>
                <xsd:element ref="ns3:PRA_Date_1" minOccurs="0"/>
                <xsd:element ref="ns3:PRA_Date_2" minOccurs="0"/>
                <xsd:element ref="ns3:PRA_Date_3" minOccurs="0"/>
                <xsd:element ref="ns3:PRA_Date_Trigger" minOccurs="0"/>
                <xsd:element ref="ns3:PRA_Date_Disposal" minOccurs="0"/>
                <xsd:element ref="ns3:Related_People" minOccurs="0"/>
                <xsd:element ref="ns3:Know-How_Type" minOccurs="0"/>
                <xsd:element ref="ns3:Target_Audience"/>
                <xsd:element ref="ns3:Original_Document" minOccurs="0"/>
                <xsd:element ref="ns4:_Status" minOccurs="0"/>
                <xsd:element ref="ns2:CategoryName" minOccurs="0"/>
                <xsd:element ref="ns2:Case" minOccurs="0"/>
                <xsd:element ref="ns5:Year" minOccurs="0"/>
                <xsd:element ref="ns2:Activity"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cbe00-2104-4159-b9b9-bd54555d1bf2" elementFormDefault="qualified">
    <xsd:import namespace="http://schemas.microsoft.com/office/2006/documentManagement/types"/>
    <xsd:import namespace="http://schemas.microsoft.com/office/infopath/2007/PartnerControls"/>
    <xsd:element name="DocumentType" ma:index="2" ma:displayName="Document Type" ma:format="Dropdown" ma:internalName="DocumentType" ma:readOnly="false">
      <xsd:simpleType>
        <xsd:restriction base="dms:Choice">
          <xsd:enumeration value="Application"/>
          <xsd:enumeration value="Contract, variation, agreement"/>
          <xsd:enumeration value="Correspondence"/>
          <xsd:enumeration value="Data"/>
          <xsd:enumeration value="Email"/>
          <xsd:enumeration value="Employment related"/>
          <xsd:enumeration value="Filenote"/>
          <xsd:enumeration value="Financial related"/>
          <xsd:enumeration value="Image, multimedia"/>
          <xsd:enumeration value="Knowledge, reference"/>
          <xsd:enumeration value="Meeting related"/>
          <xsd:enumeration value="Plan, programme, monitoring"/>
          <xsd:enumeration value="Policy, guideline, procedure"/>
          <xsd:enumeration value="Presentation"/>
          <xsd:enumeration value="Publication"/>
          <xsd:enumeration value="Report"/>
          <xsd:enumeration value="Template, form"/>
        </xsd:restriction>
      </xsd:simpleType>
    </xsd:element>
    <xsd:element name="CategoryName" ma:index="30" nillable="true" ma:displayName="Category" ma:format="RadioButtons" ma:internalName="CategoryName">
      <xsd:simpleType>
        <xsd:restriction base="dms:Choice">
          <xsd:enumeration value="Aquatic"/>
          <xsd:enumeration value="Indoor"/>
          <xsd:enumeration value="School"/>
          <xsd:enumeration value="Outdoor Field"/>
          <xsd:enumeration value="Outdoor Court"/>
          <xsd:enumeration value="Plans and Strategies"/>
          <xsd:enumeration value="Resource Development"/>
          <xsd:enumeration value="Sports Club Partnerships"/>
        </xsd:restriction>
      </xsd:simpleType>
    </xsd:element>
    <xsd:element name="Case" ma:index="31" nillable="true" ma:displayName="Project Set Title" ma:description="Copy 'Name' here. (The Name and Project Set Title must be exactly the same.)" ma:hidden="true" ma:internalName="Case" ma:readOnly="false">
      <xsd:simpleType>
        <xsd:restriction base="dms:Text">
          <xsd:maxLength value="255"/>
        </xsd:restriction>
      </xsd:simpleType>
    </xsd:element>
    <xsd:element name="Activity" ma:index="34" nillable="true" ma:displayName="Activity" ma:default="Projects" ma:hidden="true" ma:internalName="Activity" ma:readOnly="false">
      <xsd:simpleType>
        <xsd:restriction base="dms:Text">
          <xsd:maxLength value="255"/>
        </xsd:restriction>
      </xsd:simpleType>
    </xsd:element>
    <xsd:element name="Function" ma:index="35" nillable="true" ma:displayName="Function" ma:default="Facilities Management" ma:internalName="Fun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a96ec4-e7ea-4e87-8461-3188e109bf12" elementFormDefault="qualified">
    <xsd:import namespace="http://schemas.microsoft.com/office/2006/documentManagement/types"/>
    <xsd:import namespace="http://schemas.microsoft.com/office/infopath/2007/PartnerControls"/>
    <xsd:element name="PRA_Type" ma:index="3" nillable="true" ma:displayName="PRA Type" ma:default="Doc" ma:hidden="true" ma:internalName="PRAType">
      <xsd:simpleType>
        <xsd:restriction base="dms:Text"/>
      </xsd:simpleType>
    </xsd:element>
    <xsd:element name="Aggregation_Status" ma:index="4" nillable="true" ma:displayName="Aggregation Status" ma:default="Normal"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Narrative" ma:index="5" nillable="true" ma:displayName="Narrative" ma:internalName="Narrative">
      <xsd:simpleType>
        <xsd:restriction base="dms:Note">
          <xsd:maxLength value="255"/>
        </xsd:restriction>
      </xsd:simpleType>
    </xsd:element>
    <xsd:element name="RecordID" ma:index="6" nillable="true" ma:displayName="RecordID" ma:hidden="true" ma:internalName="RecordID">
      <xsd:simpleType>
        <xsd:restriction base="dms:Text"/>
      </xsd:simpleType>
    </xsd:element>
    <xsd:element name="Record_Type" ma:index="7" ma:displayName="Business Value" ma:default="Normal" ma:hidden="true" ma:internalName="RecordType">
      <xsd:simpleType>
        <xsd:union memberTypes="dms:Text">
          <xsd:simpleType>
            <xsd:restriction base="dms:Choice">
              <xsd:enumeration value="Housekeeping"/>
              <xsd:enumeration value="Long Term Value"/>
              <xsd:enumeration value="Superseded"/>
              <xsd:enumeration value="Normal"/>
              <xsd:enumeration value="Cancelled"/>
              <xsd:enumeration value="Deleted"/>
            </xsd:restriction>
          </xsd:simpleType>
        </xsd:union>
      </xsd:simpleType>
    </xsd:element>
    <xsd:element name="Read_Only_Status" ma:index="8" nillable="true" ma:displayName="Read Only Status" ma:default="Open" ma:hidden="true" ma:internalName="ReadOnlyStatus">
      <xsd:simpleType>
        <xsd:restriction base="dms:Choice">
          <xsd:enumeration value="Open"/>
          <xsd:enumeration value="Document"/>
          <xsd:enumeration value="Document and Metadata"/>
        </xsd:restriction>
      </xsd:simpleType>
    </xsd:element>
    <xsd:element name="Authoritative_Version" ma:index="9" nillable="true" ma:displayName="Authoritative Version" ma:default="0" ma:hidden="true" ma:internalName="AuthoritativeVersion">
      <xsd:simpleType>
        <xsd:restriction base="dms:Boolean"/>
      </xsd:simpleType>
    </xsd:element>
    <xsd:element name="PRA_Text_1" ma:index="10" nillable="true" ma:displayName="PRA Text 1" ma:hidden="true" ma:internalName="PraText1">
      <xsd:simpleType>
        <xsd:restriction base="dms:Text"/>
      </xsd:simpleType>
    </xsd:element>
    <xsd:element name="PRA_Text_2" ma:index="11" nillable="true" ma:displayName="PRA Text 2" ma:hidden="true" ma:internalName="PraText2">
      <xsd:simpleType>
        <xsd:restriction base="dms:Text"/>
      </xsd:simpleType>
    </xsd:element>
    <xsd:element name="PRA_Text_3" ma:index="12" nillable="true" ma:displayName="PRA Text 3" ma:hidden="true" ma:internalName="PraText3">
      <xsd:simpleType>
        <xsd:restriction base="dms:Text"/>
      </xsd:simpleType>
    </xsd:element>
    <xsd:element name="PRA_Text_4" ma:index="13" nillable="true" ma:displayName="PRA Text 4" ma:hidden="true" ma:internalName="PraText4">
      <xsd:simpleType>
        <xsd:restriction base="dms:Text"/>
      </xsd:simpleType>
    </xsd:element>
    <xsd:element name="PRA_Text_5" ma:index="14" nillable="true" ma:displayName="PRA Text 5" ma:hidden="true" ma:internalName="PraText5">
      <xsd:simpleType>
        <xsd:restriction base="dms:Text"/>
      </xsd:simpleType>
    </xsd:element>
    <xsd:element name="PRA_Date_1" ma:index="15" nillable="true" ma:displayName="PRA Date 1" ma:format="DateTime" ma:hidden="true" ma:internalName="PraDate1">
      <xsd:simpleType>
        <xsd:restriction base="dms:DateTime"/>
      </xsd:simpleType>
    </xsd:element>
    <xsd:element name="PRA_Date_2" ma:index="16" nillable="true" ma:displayName="PRA Date 2" ma:format="DateTime" ma:hidden="true" ma:internalName="PraDate2">
      <xsd:simpleType>
        <xsd:restriction base="dms:DateTime"/>
      </xsd:simpleType>
    </xsd:element>
    <xsd:element name="PRA_Date_3" ma:index="17" nillable="true" ma:displayName="PRA Date 3" ma:format="DateTime" ma:hidden="true" ma:internalName="PraDate3">
      <xsd:simpleType>
        <xsd:restriction base="dms:DateTime"/>
      </xsd:simpleType>
    </xsd:element>
    <xsd:element name="PRA_Date_Trigger" ma:index="18" nillable="true" ma:displayName="PRA Date Trigger" ma:format="DateTime" ma:hidden="true" ma:internalName="PraDateTrigger">
      <xsd:simpleType>
        <xsd:restriction base="dms:DateTime"/>
      </xsd:simpleType>
    </xsd:element>
    <xsd:element name="PRA_Date_Disposal" ma:index="19" nillable="true" ma:displayName="PRA Date Disposal" ma:format="DateTime" ma:hidden="true" ma:internalName="PraDateDisposal">
      <xsd:simpleType>
        <xsd:restriction base="dms:DateTime"/>
      </xsd:simpleType>
    </xsd:element>
    <xsd:element name="Related_People" ma:index="22" nillable="true" ma:displayName="Related People" ma:hidden="true" ma:list="UserInfo"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now-How_Type" ma:index="25" nillable="true" ma:displayName="Know-How Type" ma:default="NA" ma:format="Dropdown" ma:hidden="true" ma:internalName="KnowHowType" ma:readOnly="false">
      <xsd:simpleType>
        <xsd:union memberTypes="dms:Text">
          <xsd:simpleType>
            <xsd:restriction base="dms:Choice">
              <xsd:enumeration value="NA"/>
              <xsd:enumeration value="FAQ"/>
              <xsd:enumeration value="Tall Poppy"/>
              <xsd:enumeration value="Topic"/>
              <xsd:enumeration value="Who"/>
            </xsd:restriction>
          </xsd:simpleType>
        </xsd:union>
      </xsd:simpleType>
    </xsd:element>
    <xsd:element name="Target_Audience" ma:index="26" ma:displayName="Target Audience" ma:default="Internal" ma:format="RadioButtons" ma:hidden="true" ma:internalName="TargetAudience">
      <xsd:simpleType>
        <xsd:union memberTypes="dms:Text">
          <xsd:simpleType>
            <xsd:restriction base="dms:Choice">
              <xsd:enumeration value="Internal"/>
              <xsd:enumeration value="External"/>
            </xsd:restriction>
          </xsd:simpleType>
        </xsd:union>
      </xsd:simpleType>
    </xsd:element>
    <xsd:element name="Original_Document" ma:index="27" nillable="true" ma:displayName="Original Document" ma:hidden="true" ma:internalName="OriginalDocu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29" nillable="true" ma:displayName="Status" ma:default="Active" ma:format="Dropdown" ma:hidden="true" ma:internalName="Status" ma:readOnly="false">
      <xsd:simpleType>
        <xsd:union memberTypes="dms:Text">
          <xsd:simpleType>
            <xsd:restriction base="dms:Choice">
              <xsd:enumeration value="Active"/>
              <xsd:enumeration value="Inactiv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4fe8d60-8323-444c-b3d4-a9e77b8f3bea" elementFormDefault="qualified">
    <xsd:import namespace="http://schemas.microsoft.com/office/2006/documentManagement/types"/>
    <xsd:import namespace="http://schemas.microsoft.com/office/infopath/2007/PartnerControls"/>
    <xsd:element name="Year" ma:index="32" nillable="true" ma:displayName="Year" ma:default="2020" ma:format="Dropdown" ma:internalName="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and prio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79A0CE-25AD-45CC-8028-B63BC1A02DC2}">
  <ds:schemaRefs>
    <ds:schemaRef ds:uri="http://schemas.microsoft.com/office/2006/metadata/properties"/>
    <ds:schemaRef ds:uri="http://schemas.microsoft.com/office/infopath/2007/PartnerControls"/>
    <ds:schemaRef ds:uri="b0324a83-6fe4-4b08-ad84-1ee14ce53f83"/>
    <ds:schemaRef ds:uri="5c3f1a9e-9063-4771-ab50-878ae23b5c93"/>
  </ds:schemaRefs>
</ds:datastoreItem>
</file>

<file path=customXml/itemProps2.xml><?xml version="1.0" encoding="utf-8"?>
<ds:datastoreItem xmlns:ds="http://schemas.openxmlformats.org/officeDocument/2006/customXml" ds:itemID="{92045229-5DE2-42A4-B6C6-952AE25C4DFB}"/>
</file>

<file path=customXml/itemProps3.xml><?xml version="1.0" encoding="utf-8"?>
<ds:datastoreItem xmlns:ds="http://schemas.openxmlformats.org/officeDocument/2006/customXml" ds:itemID="{704C8472-8C36-4BAE-91E6-7D455A05E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16</Pages>
  <Words>3884</Words>
  <Characters>22142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Wellington Region Spaces and Places Plan 4</dc:title>
  <dc:subject/>
  <dc:creator>Nicky Sherriff</dc:creator>
  <cp:keywords/>
  <dc:description/>
  <cp:lastModifiedBy>Nicky Sherriff</cp:lastModifiedBy>
  <cp:revision>95</cp:revision>
  <cp:lastPrinted>2019-07-24T08:25:00Z</cp:lastPrinted>
  <dcterms:created xsi:type="dcterms:W3CDTF">2019-07-24T03:41:00Z</dcterms:created>
  <dcterms:modified xsi:type="dcterms:W3CDTF">2019-08-05T02:54:00Z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0x010100AAAAAAAAAAAAAAAAAAAAAAAAAAAAAA0200686632093CFD1A449D3193FAAC94FCC2</vt:lpwstr>
  </property>
  <property fmtid="{D5CDD505-2E9C-101B-9397-08002B2CF9AE}" pid="3" name="BusinessUnit">
    <vt:lpwstr>37;#Regional Development|cce79a48-f651-4352-9304-989cdf13c7a2</vt:lpwstr>
  </property>
  <property fmtid="{D5CDD505-2E9C-101B-9397-08002B2CF9AE}" pid="4" name="Project">
    <vt:lpwstr>NA</vt:lpwstr>
  </property>
  <property fmtid="{D5CDD505-2E9C-101B-9397-08002B2CF9AE}" pid="5" name="FunctionGroup">
    <vt:lpwstr>NA</vt:lpwstr>
  </property>
  <property fmtid="{D5CDD505-2E9C-101B-9397-08002B2CF9AE}" pid="6" name="CategoryValue">
    <vt:lpwstr>NA</vt:lpwstr>
  </property>
  <property fmtid="{D5CDD505-2E9C-101B-9397-08002B2CF9AE}" pid="7" name="Volume">
    <vt:lpwstr>NA</vt:lpwstr>
  </property>
</Properties>
</file>